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1.1.0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2014 - 2022</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17.2</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08/12/2023 - 10:09:46 CET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Theme="minorHAnsi" w:hAnsiTheme="minorHAns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Theme="minorHAnsi" w:hAnsiTheme="minorHAns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Theme="minorHAnsi" w:hAnsiTheme="minorHAns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Theme="minorHAnsi" w:hAnsiTheme="minorHAns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Theme="minorHAnsi" w:hAnsiTheme="minorHAns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Theme="minorHAnsi" w:hAnsiTheme="minorHAns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Theme="minorHAnsi" w:hAnsiTheme="minorHAns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14</w:t>
        </w:r>
        <w:r>
          <w:fldChar w:fldCharType="end"/>
        </w:r>
      </w:hyperlink>
    </w:p>
    <w:p>
      <w:pPr>
        <w:pStyle w:val="TOC1"/>
        <w:rPr>
          <w:rFonts w:asciiTheme="minorHAnsi" w:hAnsiTheme="minorHAns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17</w:t>
        </w:r>
        <w:r>
          <w:fldChar w:fldCharType="end"/>
        </w:r>
      </w:hyperlink>
    </w:p>
    <w:p>
      <w:pPr>
        <w:pStyle w:val="TOC2"/>
        <w:rPr>
          <w:rFonts w:asciiTheme="minorHAnsi" w:hAnsiTheme="minorHAns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17</w:t>
        </w:r>
        <w:r>
          <w:fldChar w:fldCharType="end"/>
        </w:r>
      </w:hyperlink>
    </w:p>
    <w:p>
      <w:pPr>
        <w:pStyle w:val="TOC2"/>
        <w:rPr>
          <w:rFonts w:asciiTheme="minorHAnsi" w:hAnsiTheme="minorHAns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17</w:t>
        </w:r>
        <w:r>
          <w:fldChar w:fldCharType="end"/>
        </w:r>
      </w:hyperlink>
    </w:p>
    <w:p>
      <w:pPr>
        <w:pStyle w:val="TOC1"/>
        <w:rPr>
          <w:rFonts w:asciiTheme="minorHAnsi" w:hAnsiTheme="minorHAns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18</w:t>
        </w:r>
        <w:r>
          <w:fldChar w:fldCharType="end"/>
        </w:r>
      </w:hyperlink>
    </w:p>
    <w:p>
      <w:pPr>
        <w:pStyle w:val="TOC2"/>
        <w:rPr>
          <w:rFonts w:asciiTheme="minorHAnsi" w:hAnsiTheme="minorHAns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18</w:t>
        </w:r>
        <w:r>
          <w:fldChar w:fldCharType="end"/>
        </w:r>
      </w:hyperlink>
    </w:p>
    <w:p>
      <w:pPr>
        <w:pStyle w:val="TOC2"/>
        <w:rPr>
          <w:rFonts w:asciiTheme="minorHAnsi" w:hAnsiTheme="minorHAns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20</w:t>
        </w:r>
        <w:r>
          <w:fldChar w:fldCharType="end"/>
        </w:r>
      </w:hyperlink>
    </w:p>
    <w:p>
      <w:pPr>
        <w:pStyle w:val="TOC3"/>
        <w:rPr>
          <w:rFonts w:asciiTheme="minorHAnsi" w:hAnsiTheme="minorHAns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21</w:t>
        </w:r>
        <w:r>
          <w:fldChar w:fldCharType="end"/>
        </w:r>
      </w:hyperlink>
    </w:p>
    <w:p>
      <w:pPr>
        <w:pStyle w:val="TOC3"/>
        <w:rPr>
          <w:rFonts w:asciiTheme="minorHAnsi" w:hAnsiTheme="minorHAns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22</w:t>
        </w:r>
        <w:r>
          <w:fldChar w:fldCharType="end"/>
        </w:r>
      </w:hyperlink>
    </w:p>
    <w:p>
      <w:pPr>
        <w:pStyle w:val="TOC3"/>
        <w:rPr>
          <w:rFonts w:asciiTheme="minorHAnsi" w:hAnsiTheme="minorHAns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22</w:t>
        </w:r>
        <w:r>
          <w:fldChar w:fldCharType="end"/>
        </w:r>
      </w:hyperlink>
    </w:p>
    <w:p>
      <w:pPr>
        <w:pStyle w:val="TOC3"/>
        <w:rPr>
          <w:rFonts w:asciiTheme="minorHAnsi" w:hAnsiTheme="minorHAns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23</w:t>
        </w:r>
        <w:r>
          <w:fldChar w:fldCharType="end"/>
        </w:r>
      </w:hyperlink>
    </w:p>
    <w:p>
      <w:pPr>
        <w:pStyle w:val="TOC3"/>
        <w:rPr>
          <w:rFonts w:asciiTheme="minorHAnsi" w:hAnsiTheme="minorHAns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23</w:t>
        </w:r>
        <w:r>
          <w:fldChar w:fldCharType="end"/>
        </w:r>
      </w:hyperlink>
    </w:p>
    <w:p>
      <w:pPr>
        <w:pStyle w:val="TOC3"/>
        <w:rPr>
          <w:rFonts w:asciiTheme="minorHAnsi" w:hAnsiTheme="minorHAns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24</w:t>
        </w:r>
        <w:r>
          <w:fldChar w:fldCharType="end"/>
        </w:r>
      </w:hyperlink>
    </w:p>
    <w:p>
      <w:pPr>
        <w:pStyle w:val="TOC3"/>
        <w:rPr>
          <w:rFonts w:asciiTheme="minorHAnsi" w:hAnsiTheme="minorHAns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24</w:t>
        </w:r>
        <w:r>
          <w:fldChar w:fldCharType="end"/>
        </w:r>
      </w:hyperlink>
    </w:p>
    <w:p>
      <w:pPr>
        <w:pStyle w:val="TOC3"/>
        <w:rPr>
          <w:rFonts w:asciiTheme="minorHAnsi" w:hAnsiTheme="minorHAns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25</w:t>
        </w:r>
        <w:r>
          <w:fldChar w:fldCharType="end"/>
        </w:r>
      </w:hyperlink>
    </w:p>
    <w:p>
      <w:pPr>
        <w:pStyle w:val="TOC3"/>
        <w:rPr>
          <w:rFonts w:asciiTheme="minorHAnsi" w:hAnsiTheme="minorHAns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25</w:t>
        </w:r>
        <w:r>
          <w:fldChar w:fldCharType="end"/>
        </w:r>
      </w:hyperlink>
    </w:p>
    <w:p>
      <w:pPr>
        <w:pStyle w:val="TOC3"/>
        <w:rPr>
          <w:rFonts w:asciiTheme="minorHAnsi" w:hAnsiTheme="minorHAns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26</w:t>
        </w:r>
        <w:r>
          <w:fldChar w:fldCharType="end"/>
        </w:r>
      </w:hyperlink>
    </w:p>
    <w:p>
      <w:pPr>
        <w:pStyle w:val="TOC3"/>
        <w:rPr>
          <w:rFonts w:asciiTheme="minorHAnsi" w:hAnsiTheme="minorHAns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26</w:t>
        </w:r>
        <w:r>
          <w:fldChar w:fldCharType="end"/>
        </w:r>
      </w:hyperlink>
    </w:p>
    <w:p>
      <w:pPr>
        <w:pStyle w:val="TOC3"/>
        <w:rPr>
          <w:rFonts w:asciiTheme="minorHAnsi" w:hAnsiTheme="minorHAns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27</w:t>
        </w:r>
        <w:r>
          <w:fldChar w:fldCharType="end"/>
        </w:r>
      </w:hyperlink>
    </w:p>
    <w:p>
      <w:pPr>
        <w:pStyle w:val="TOC3"/>
        <w:rPr>
          <w:rFonts w:asciiTheme="minorHAnsi" w:hAnsiTheme="minorHAns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27</w:t>
        </w:r>
        <w:r>
          <w:fldChar w:fldCharType="end"/>
        </w:r>
      </w:hyperlink>
    </w:p>
    <w:p>
      <w:pPr>
        <w:pStyle w:val="TOC3"/>
        <w:rPr>
          <w:rFonts w:asciiTheme="minorHAnsi" w:hAnsiTheme="minorHAns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28</w:t>
        </w:r>
        <w:r>
          <w:fldChar w:fldCharType="end"/>
        </w:r>
      </w:hyperlink>
    </w:p>
    <w:p>
      <w:pPr>
        <w:pStyle w:val="TOC3"/>
        <w:rPr>
          <w:rFonts w:asciiTheme="minorHAnsi" w:hAnsiTheme="minorHAns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28</w:t>
        </w:r>
        <w:r>
          <w:fldChar w:fldCharType="end"/>
        </w:r>
      </w:hyperlink>
    </w:p>
    <w:p>
      <w:pPr>
        <w:pStyle w:val="TOC3"/>
        <w:rPr>
          <w:rFonts w:asciiTheme="minorHAnsi" w:hAnsiTheme="minorHAns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29</w:t>
        </w:r>
        <w:r>
          <w:fldChar w:fldCharType="end"/>
        </w:r>
      </w:hyperlink>
    </w:p>
    <w:p>
      <w:pPr>
        <w:pStyle w:val="TOC3"/>
        <w:rPr>
          <w:rFonts w:asciiTheme="minorHAnsi" w:hAnsiTheme="minorHAns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29</w:t>
        </w:r>
        <w:r>
          <w:fldChar w:fldCharType="end"/>
        </w:r>
      </w:hyperlink>
    </w:p>
    <w:p>
      <w:pPr>
        <w:pStyle w:val="TOC3"/>
        <w:rPr>
          <w:rFonts w:asciiTheme="minorHAnsi" w:hAnsiTheme="minorHAns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30</w:t>
        </w:r>
        <w:r>
          <w:fldChar w:fldCharType="end"/>
        </w:r>
      </w:hyperlink>
    </w:p>
    <w:p>
      <w:pPr>
        <w:pStyle w:val="TOC3"/>
        <w:rPr>
          <w:rFonts w:asciiTheme="minorHAnsi" w:hAnsiTheme="minorHAns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30</w:t>
        </w:r>
        <w:r>
          <w:fldChar w:fldCharType="end"/>
        </w:r>
      </w:hyperlink>
    </w:p>
    <w:p>
      <w:pPr>
        <w:pStyle w:val="TOC3"/>
        <w:rPr>
          <w:rFonts w:asciiTheme="minorHAnsi" w:hAnsiTheme="minorHAns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31</w:t>
        </w:r>
        <w:r>
          <w:fldChar w:fldCharType="end"/>
        </w:r>
      </w:hyperlink>
    </w:p>
    <w:p>
      <w:pPr>
        <w:pStyle w:val="TOC3"/>
        <w:rPr>
          <w:rFonts w:asciiTheme="minorHAnsi" w:hAnsiTheme="minorHAns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31</w:t>
        </w:r>
        <w:r>
          <w:fldChar w:fldCharType="end"/>
        </w:r>
      </w:hyperlink>
    </w:p>
    <w:p>
      <w:pPr>
        <w:pStyle w:val="TOC3"/>
        <w:rPr>
          <w:rFonts w:asciiTheme="minorHAnsi" w:hAnsiTheme="minorHAns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32</w:t>
        </w:r>
        <w:r>
          <w:fldChar w:fldCharType="end"/>
        </w:r>
      </w:hyperlink>
    </w:p>
    <w:p>
      <w:pPr>
        <w:pStyle w:val="TOC3"/>
        <w:rPr>
          <w:rFonts w:asciiTheme="minorHAnsi" w:hAnsiTheme="minorHAns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32</w:t>
        </w:r>
        <w:r>
          <w:fldChar w:fldCharType="end"/>
        </w:r>
      </w:hyperlink>
    </w:p>
    <w:p>
      <w:pPr>
        <w:pStyle w:val="TOC3"/>
        <w:rPr>
          <w:rFonts w:asciiTheme="minorHAnsi" w:hAnsiTheme="minorHAns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33</w:t>
        </w:r>
        <w:r>
          <w:fldChar w:fldCharType="end"/>
        </w:r>
      </w:hyperlink>
    </w:p>
    <w:p>
      <w:pPr>
        <w:pStyle w:val="TOC2"/>
        <w:rPr>
          <w:rFonts w:asciiTheme="minorHAnsi" w:hAnsiTheme="minorHAns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33</w:t>
        </w:r>
        <w:r>
          <w:fldChar w:fldCharType="end"/>
        </w:r>
      </w:hyperlink>
    </w:p>
    <w:p>
      <w:pPr>
        <w:pStyle w:val="TOC1"/>
        <w:rPr>
          <w:rFonts w:asciiTheme="minorHAnsi" w:hAnsiTheme="minorHAns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34</w:t>
        </w:r>
        <w:r>
          <w:fldChar w:fldCharType="end"/>
        </w:r>
      </w:hyperlink>
    </w:p>
    <w:p>
      <w:pPr>
        <w:pStyle w:val="TOC2"/>
        <w:rPr>
          <w:rFonts w:asciiTheme="minorHAnsi" w:hAnsiTheme="minorHAns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34</w:t>
        </w:r>
        <w:r>
          <w:fldChar w:fldCharType="end"/>
        </w:r>
      </w:hyperlink>
    </w:p>
    <w:p>
      <w:pPr>
        <w:pStyle w:val="TOC3"/>
        <w:rPr>
          <w:rFonts w:asciiTheme="minorHAnsi" w:hAnsiTheme="minorHAns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34</w:t>
        </w:r>
        <w:r>
          <w:fldChar w:fldCharType="end"/>
        </w:r>
      </w:hyperlink>
    </w:p>
    <w:p>
      <w:pPr>
        <w:pStyle w:val="TOC3"/>
        <w:rPr>
          <w:rFonts w:asciiTheme="minorHAnsi" w:hAnsiTheme="minorHAns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46</w:t>
        </w:r>
        <w:r>
          <w:fldChar w:fldCharType="end"/>
        </w:r>
      </w:hyperlink>
    </w:p>
    <w:p>
      <w:pPr>
        <w:pStyle w:val="TOC3"/>
        <w:rPr>
          <w:rFonts w:asciiTheme="minorHAnsi" w:hAnsiTheme="minorHAns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48</w:t>
        </w:r>
        <w:r>
          <w:fldChar w:fldCharType="end"/>
        </w:r>
      </w:hyperlink>
    </w:p>
    <w:p>
      <w:pPr>
        <w:pStyle w:val="TOC3"/>
        <w:rPr>
          <w:rFonts w:asciiTheme="minorHAnsi" w:hAnsiTheme="minorHAns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50</w:t>
        </w:r>
        <w:r>
          <w:fldChar w:fldCharType="end"/>
        </w:r>
      </w:hyperlink>
    </w:p>
    <w:p>
      <w:pPr>
        <w:pStyle w:val="TOC3"/>
        <w:rPr>
          <w:rFonts w:asciiTheme="minorHAnsi" w:hAnsiTheme="minorHAns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51</w:t>
        </w:r>
        <w:r>
          <w:fldChar w:fldCharType="end"/>
        </w:r>
      </w:hyperlink>
    </w:p>
    <w:p>
      <w:pPr>
        <w:pStyle w:val="TOC3"/>
        <w:rPr>
          <w:rFonts w:asciiTheme="minorHAnsi" w:hAnsiTheme="minorHAns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53</w:t>
        </w:r>
        <w:r>
          <w:fldChar w:fldCharType="end"/>
        </w:r>
      </w:hyperlink>
    </w:p>
    <w:p>
      <w:pPr>
        <w:pStyle w:val="TOC3"/>
        <w:rPr>
          <w:rFonts w:asciiTheme="minorHAnsi" w:hAnsiTheme="minorHAns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65</w:t>
        </w:r>
        <w:r>
          <w:fldChar w:fldCharType="end"/>
        </w:r>
      </w:hyperlink>
    </w:p>
    <w:p>
      <w:pPr>
        <w:pStyle w:val="TOC2"/>
        <w:rPr>
          <w:rFonts w:asciiTheme="minorHAnsi" w:hAnsiTheme="minorHAns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66</w:t>
        </w:r>
        <w:r>
          <w:fldChar w:fldCharType="end"/>
        </w:r>
      </w:hyperlink>
    </w:p>
    <w:p>
      <w:pPr>
        <w:pStyle w:val="TOC3"/>
        <w:rPr>
          <w:rFonts w:asciiTheme="minorHAnsi" w:hAnsiTheme="minorHAns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82</w:t>
        </w:r>
        <w:r>
          <w:fldChar w:fldCharType="end"/>
        </w:r>
      </w:hyperlink>
    </w:p>
    <w:p>
      <w:pPr>
        <w:pStyle w:val="TOC3"/>
        <w:rPr>
          <w:rFonts w:asciiTheme="minorHAnsi" w:hAnsiTheme="minorHAns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83</w:t>
        </w:r>
        <w:r>
          <w:fldChar w:fldCharType="end"/>
        </w:r>
      </w:hyperlink>
    </w:p>
    <w:p>
      <w:pPr>
        <w:pStyle w:val="TOC3"/>
        <w:rPr>
          <w:rFonts w:asciiTheme="minorHAnsi" w:hAnsiTheme="minorHAns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84</w:t>
        </w:r>
        <w:r>
          <w:fldChar w:fldCharType="end"/>
        </w:r>
      </w:hyperlink>
    </w:p>
    <w:p>
      <w:pPr>
        <w:pStyle w:val="TOC3"/>
        <w:rPr>
          <w:rFonts w:asciiTheme="minorHAnsi" w:hAnsiTheme="minorHAns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86</w:t>
        </w:r>
        <w:r>
          <w:fldChar w:fldCharType="end"/>
        </w:r>
      </w:hyperlink>
    </w:p>
    <w:p>
      <w:pPr>
        <w:pStyle w:val="TOC3"/>
        <w:rPr>
          <w:rFonts w:asciiTheme="minorHAnsi" w:hAnsiTheme="minorHAns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86</w:t>
        </w:r>
        <w:r>
          <w:fldChar w:fldCharType="end"/>
        </w:r>
      </w:hyperlink>
    </w:p>
    <w:p>
      <w:pPr>
        <w:pStyle w:val="TOC3"/>
        <w:rPr>
          <w:rFonts w:asciiTheme="minorHAnsi" w:hAnsiTheme="minorHAns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88</w:t>
        </w:r>
        <w:r>
          <w:fldChar w:fldCharType="end"/>
        </w:r>
      </w:hyperlink>
    </w:p>
    <w:p>
      <w:pPr>
        <w:pStyle w:val="TOC3"/>
        <w:rPr>
          <w:rFonts w:asciiTheme="minorHAnsi" w:hAnsiTheme="minorHAns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89</w:t>
        </w:r>
        <w:r>
          <w:fldChar w:fldCharType="end"/>
        </w:r>
      </w:hyperlink>
    </w:p>
    <w:p>
      <w:pPr>
        <w:pStyle w:val="TOC3"/>
        <w:rPr>
          <w:rFonts w:asciiTheme="minorHAnsi" w:hAnsiTheme="minorHAns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90</w:t>
        </w:r>
        <w:r>
          <w:fldChar w:fldCharType="end"/>
        </w:r>
      </w:hyperlink>
    </w:p>
    <w:p>
      <w:pPr>
        <w:pStyle w:val="TOC3"/>
        <w:rPr>
          <w:rFonts w:asciiTheme="minorHAnsi" w:hAnsiTheme="minorHAns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91</w:t>
        </w:r>
        <w:r>
          <w:fldChar w:fldCharType="end"/>
        </w:r>
      </w:hyperlink>
    </w:p>
    <w:p>
      <w:pPr>
        <w:pStyle w:val="TOC3"/>
        <w:rPr>
          <w:rFonts w:asciiTheme="minorHAnsi" w:hAnsiTheme="minorHAns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92</w:t>
        </w:r>
        <w:r>
          <w:fldChar w:fldCharType="end"/>
        </w:r>
      </w:hyperlink>
    </w:p>
    <w:p>
      <w:pPr>
        <w:pStyle w:val="TOC3"/>
        <w:rPr>
          <w:rFonts w:asciiTheme="minorHAnsi" w:hAnsiTheme="minorHAns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92</w:t>
        </w:r>
        <w:r>
          <w:fldChar w:fldCharType="end"/>
        </w:r>
      </w:hyperlink>
    </w:p>
    <w:p>
      <w:pPr>
        <w:pStyle w:val="TOC3"/>
        <w:rPr>
          <w:rFonts w:asciiTheme="minorHAnsi" w:hAnsiTheme="minorHAns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93</w:t>
        </w:r>
        <w:r>
          <w:fldChar w:fldCharType="end"/>
        </w:r>
      </w:hyperlink>
    </w:p>
    <w:p>
      <w:pPr>
        <w:pStyle w:val="TOC3"/>
        <w:rPr>
          <w:rFonts w:asciiTheme="minorHAnsi" w:hAnsiTheme="minorHAns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94</w:t>
        </w:r>
        <w:r>
          <w:fldChar w:fldCharType="end"/>
        </w:r>
      </w:hyperlink>
    </w:p>
    <w:p>
      <w:pPr>
        <w:pStyle w:val="TOC3"/>
        <w:rPr>
          <w:rFonts w:asciiTheme="minorHAnsi" w:hAnsiTheme="minorHAns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95</w:t>
        </w:r>
        <w:r>
          <w:fldChar w:fldCharType="end"/>
        </w:r>
      </w:hyperlink>
    </w:p>
    <w:p>
      <w:pPr>
        <w:pStyle w:val="TOC3"/>
        <w:rPr>
          <w:rFonts w:asciiTheme="minorHAnsi" w:hAnsiTheme="minorHAns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96</w:t>
        </w:r>
        <w:r>
          <w:fldChar w:fldCharType="end"/>
        </w:r>
      </w:hyperlink>
    </w:p>
    <w:p>
      <w:pPr>
        <w:pStyle w:val="TOC3"/>
        <w:rPr>
          <w:rFonts w:asciiTheme="minorHAnsi" w:hAnsiTheme="minorHAns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96</w:t>
        </w:r>
        <w:r>
          <w:fldChar w:fldCharType="end"/>
        </w:r>
      </w:hyperlink>
    </w:p>
    <w:p>
      <w:pPr>
        <w:pStyle w:val="TOC3"/>
        <w:rPr>
          <w:rFonts w:asciiTheme="minorHAnsi" w:hAnsiTheme="minorHAns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97</w:t>
        </w:r>
        <w:r>
          <w:fldChar w:fldCharType="end"/>
        </w:r>
      </w:hyperlink>
    </w:p>
    <w:p>
      <w:pPr>
        <w:pStyle w:val="TOC3"/>
        <w:rPr>
          <w:rFonts w:asciiTheme="minorHAnsi" w:hAnsiTheme="minorHAns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98</w:t>
        </w:r>
        <w:r>
          <w:fldChar w:fldCharType="end"/>
        </w:r>
      </w:hyperlink>
    </w:p>
    <w:p>
      <w:pPr>
        <w:pStyle w:val="TOC3"/>
        <w:rPr>
          <w:rFonts w:asciiTheme="minorHAnsi" w:hAnsiTheme="minorHAns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99</w:t>
        </w:r>
        <w:r>
          <w:fldChar w:fldCharType="end"/>
        </w:r>
      </w:hyperlink>
    </w:p>
    <w:p>
      <w:pPr>
        <w:pStyle w:val="TOC3"/>
        <w:rPr>
          <w:rFonts w:asciiTheme="minorHAnsi" w:hAnsiTheme="minorHAns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100</w:t>
        </w:r>
        <w:r>
          <w:fldChar w:fldCharType="end"/>
        </w:r>
      </w:hyperlink>
    </w:p>
    <w:p>
      <w:pPr>
        <w:pStyle w:val="TOC3"/>
        <w:rPr>
          <w:rFonts w:asciiTheme="minorHAnsi" w:hAnsiTheme="minorHAns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100</w:t>
        </w:r>
        <w:r>
          <w:fldChar w:fldCharType="end"/>
        </w:r>
      </w:hyperlink>
    </w:p>
    <w:p>
      <w:pPr>
        <w:pStyle w:val="TOC3"/>
        <w:rPr>
          <w:rFonts w:asciiTheme="minorHAnsi" w:hAnsiTheme="minorHAns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101</w:t>
        </w:r>
        <w:r>
          <w:fldChar w:fldCharType="end"/>
        </w:r>
      </w:hyperlink>
    </w:p>
    <w:p>
      <w:pPr>
        <w:pStyle w:val="TOC3"/>
        <w:rPr>
          <w:rFonts w:asciiTheme="minorHAnsi" w:hAnsiTheme="minorHAns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102</w:t>
        </w:r>
        <w:r>
          <w:fldChar w:fldCharType="end"/>
        </w:r>
      </w:hyperlink>
    </w:p>
    <w:p>
      <w:pPr>
        <w:pStyle w:val="TOC3"/>
        <w:rPr>
          <w:rFonts w:asciiTheme="minorHAnsi" w:hAnsiTheme="minorHAns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102</w:t>
        </w:r>
        <w:r>
          <w:fldChar w:fldCharType="end"/>
        </w:r>
      </w:hyperlink>
    </w:p>
    <w:p>
      <w:pPr>
        <w:pStyle w:val="TOC3"/>
        <w:rPr>
          <w:rFonts w:asciiTheme="minorHAnsi" w:hAnsiTheme="minorHAns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103</w:t>
        </w:r>
        <w:r>
          <w:fldChar w:fldCharType="end"/>
        </w:r>
      </w:hyperlink>
    </w:p>
    <w:p>
      <w:pPr>
        <w:pStyle w:val="TOC3"/>
        <w:rPr>
          <w:rFonts w:asciiTheme="minorHAnsi" w:hAnsiTheme="minorHAns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104</w:t>
        </w:r>
        <w:r>
          <w:fldChar w:fldCharType="end"/>
        </w:r>
      </w:hyperlink>
    </w:p>
    <w:p>
      <w:pPr>
        <w:pStyle w:val="TOC3"/>
        <w:rPr>
          <w:rFonts w:asciiTheme="minorHAnsi" w:hAnsiTheme="minorHAns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104</w:t>
        </w:r>
        <w:r>
          <w:fldChar w:fldCharType="end"/>
        </w:r>
      </w:hyperlink>
    </w:p>
    <w:p>
      <w:pPr>
        <w:pStyle w:val="TOC3"/>
        <w:rPr>
          <w:rFonts w:asciiTheme="minorHAnsi" w:hAnsiTheme="minorHAns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105</w:t>
        </w:r>
        <w:r>
          <w:fldChar w:fldCharType="end"/>
        </w:r>
      </w:hyperlink>
    </w:p>
    <w:p>
      <w:pPr>
        <w:pStyle w:val="TOC3"/>
        <w:rPr>
          <w:rFonts w:asciiTheme="minorHAnsi" w:hAnsiTheme="minorHAns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106</w:t>
        </w:r>
        <w:r>
          <w:fldChar w:fldCharType="end"/>
        </w:r>
      </w:hyperlink>
    </w:p>
    <w:p>
      <w:pPr>
        <w:pStyle w:val="TOC3"/>
        <w:rPr>
          <w:rFonts w:asciiTheme="minorHAnsi" w:hAnsiTheme="minorHAns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106</w:t>
        </w:r>
        <w:r>
          <w:fldChar w:fldCharType="end"/>
        </w:r>
      </w:hyperlink>
    </w:p>
    <w:p>
      <w:pPr>
        <w:pStyle w:val="TOC3"/>
        <w:rPr>
          <w:rFonts w:asciiTheme="minorHAnsi" w:hAnsiTheme="minorHAns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106</w:t>
        </w:r>
        <w:r>
          <w:fldChar w:fldCharType="end"/>
        </w:r>
      </w:hyperlink>
    </w:p>
    <w:p>
      <w:pPr>
        <w:pStyle w:val="TOC3"/>
        <w:rPr>
          <w:rFonts w:asciiTheme="minorHAnsi" w:hAnsiTheme="minorHAns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107</w:t>
        </w:r>
        <w:r>
          <w:fldChar w:fldCharType="end"/>
        </w:r>
      </w:hyperlink>
    </w:p>
    <w:p>
      <w:pPr>
        <w:pStyle w:val="TOC3"/>
        <w:rPr>
          <w:rFonts w:asciiTheme="minorHAnsi" w:hAnsiTheme="minorHAns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108</w:t>
        </w:r>
        <w:r>
          <w:fldChar w:fldCharType="end"/>
        </w:r>
      </w:hyperlink>
    </w:p>
    <w:p>
      <w:pPr>
        <w:pStyle w:val="TOC3"/>
        <w:rPr>
          <w:rFonts w:asciiTheme="minorHAnsi" w:hAnsiTheme="minorHAns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109</w:t>
        </w:r>
        <w:r>
          <w:fldChar w:fldCharType="end"/>
        </w:r>
      </w:hyperlink>
    </w:p>
    <w:p>
      <w:pPr>
        <w:pStyle w:val="TOC3"/>
        <w:rPr>
          <w:rFonts w:asciiTheme="minorHAnsi" w:hAnsiTheme="minorHAns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109</w:t>
        </w:r>
        <w:r>
          <w:fldChar w:fldCharType="end"/>
        </w:r>
      </w:hyperlink>
    </w:p>
    <w:p>
      <w:pPr>
        <w:pStyle w:val="TOC3"/>
        <w:rPr>
          <w:rFonts w:asciiTheme="minorHAnsi" w:hAnsiTheme="minorHAns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110</w:t>
        </w:r>
        <w:r>
          <w:fldChar w:fldCharType="end"/>
        </w:r>
      </w:hyperlink>
    </w:p>
    <w:p>
      <w:pPr>
        <w:pStyle w:val="TOC3"/>
        <w:rPr>
          <w:rFonts w:asciiTheme="minorHAnsi" w:hAnsiTheme="minorHAns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110</w:t>
        </w:r>
        <w:r>
          <w:fldChar w:fldCharType="end"/>
        </w:r>
      </w:hyperlink>
    </w:p>
    <w:p>
      <w:pPr>
        <w:pStyle w:val="TOC3"/>
        <w:rPr>
          <w:rFonts w:asciiTheme="minorHAnsi" w:hAnsiTheme="minorHAns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111</w:t>
        </w:r>
        <w:r>
          <w:fldChar w:fldCharType="end"/>
        </w:r>
      </w:hyperlink>
    </w:p>
    <w:p>
      <w:pPr>
        <w:pStyle w:val="TOC3"/>
        <w:rPr>
          <w:rFonts w:asciiTheme="minorHAnsi" w:hAnsiTheme="minorHAns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111</w:t>
        </w:r>
        <w:r>
          <w:fldChar w:fldCharType="end"/>
        </w:r>
      </w:hyperlink>
    </w:p>
    <w:p>
      <w:pPr>
        <w:pStyle w:val="TOC3"/>
        <w:rPr>
          <w:rFonts w:asciiTheme="minorHAnsi" w:hAnsiTheme="minorHAns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112</w:t>
        </w:r>
        <w:r>
          <w:fldChar w:fldCharType="end"/>
        </w:r>
      </w:hyperlink>
    </w:p>
    <w:p>
      <w:pPr>
        <w:pStyle w:val="TOC1"/>
        <w:rPr>
          <w:rFonts w:asciiTheme="minorHAnsi" w:hAnsiTheme="minorHAns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114</w:t>
        </w:r>
        <w:r>
          <w:fldChar w:fldCharType="end"/>
        </w:r>
      </w:hyperlink>
    </w:p>
    <w:p>
      <w:pPr>
        <w:pStyle w:val="TOC2"/>
        <w:rPr>
          <w:rFonts w:asciiTheme="minorHAnsi" w:hAnsiTheme="minorHAns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114</w:t>
        </w:r>
        <w:r>
          <w:fldChar w:fldCharType="end"/>
        </w:r>
      </w:hyperlink>
    </w:p>
    <w:p>
      <w:pPr>
        <w:pStyle w:val="TOC2"/>
        <w:rPr>
          <w:rFonts w:asciiTheme="minorHAnsi" w:hAnsiTheme="minorHAns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120</w:t>
        </w:r>
        <w:r>
          <w:fldChar w:fldCharType="end"/>
        </w:r>
      </w:hyperlink>
    </w:p>
    <w:p>
      <w:pPr>
        <w:pStyle w:val="TOC3"/>
        <w:rPr>
          <w:rFonts w:asciiTheme="minorHAnsi" w:hAnsiTheme="minorHAns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120</w:t>
        </w:r>
        <w:r>
          <w:fldChar w:fldCharType="end"/>
        </w:r>
      </w:hyperlink>
    </w:p>
    <w:p>
      <w:pPr>
        <w:pStyle w:val="TOC3"/>
        <w:rPr>
          <w:rFonts w:asciiTheme="minorHAnsi" w:hAnsiTheme="minorHAns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121</w:t>
        </w:r>
        <w:r>
          <w:fldChar w:fldCharType="end"/>
        </w:r>
      </w:hyperlink>
    </w:p>
    <w:p>
      <w:pPr>
        <w:pStyle w:val="TOC3"/>
        <w:rPr>
          <w:rFonts w:asciiTheme="minorHAnsi" w:hAnsiTheme="minorHAns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123</w:t>
        </w:r>
        <w:r>
          <w:fldChar w:fldCharType="end"/>
        </w:r>
      </w:hyperlink>
    </w:p>
    <w:p>
      <w:pPr>
        <w:pStyle w:val="TOC3"/>
        <w:rPr>
          <w:rFonts w:asciiTheme="minorHAnsi" w:hAnsiTheme="minorHAns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125</w:t>
        </w:r>
        <w:r>
          <w:fldChar w:fldCharType="end"/>
        </w:r>
      </w:hyperlink>
    </w:p>
    <w:p>
      <w:pPr>
        <w:pStyle w:val="TOC3"/>
        <w:rPr>
          <w:rFonts w:asciiTheme="minorHAnsi" w:hAnsiTheme="minorHAns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129</w:t>
        </w:r>
        <w:r>
          <w:fldChar w:fldCharType="end"/>
        </w:r>
      </w:hyperlink>
    </w:p>
    <w:p>
      <w:pPr>
        <w:pStyle w:val="TOC3"/>
        <w:rPr>
          <w:rFonts w:asciiTheme="minorHAnsi" w:hAnsiTheme="minorHAns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133</w:t>
        </w:r>
        <w:r>
          <w:fldChar w:fldCharType="end"/>
        </w:r>
      </w:hyperlink>
    </w:p>
    <w:p>
      <w:pPr>
        <w:pStyle w:val="TOC2"/>
        <w:rPr>
          <w:rFonts w:asciiTheme="minorHAnsi" w:hAnsiTheme="minorHAns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136</w:t>
        </w:r>
        <w:r>
          <w:fldChar w:fldCharType="end"/>
        </w:r>
      </w:hyperlink>
    </w:p>
    <w:p>
      <w:pPr>
        <w:pStyle w:val="TOC2"/>
        <w:rPr>
          <w:rFonts w:asciiTheme="minorHAnsi" w:hAnsiTheme="minorHAns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139</w:t>
        </w:r>
        <w:r>
          <w:fldChar w:fldCharType="end"/>
        </w:r>
      </w:hyperlink>
    </w:p>
    <w:p>
      <w:pPr>
        <w:pStyle w:val="TOC2"/>
        <w:rPr>
          <w:rFonts w:asciiTheme="minorHAnsi" w:hAnsiTheme="minorHAns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142</w:t>
        </w:r>
        <w:r>
          <w:fldChar w:fldCharType="end"/>
        </w:r>
      </w:hyperlink>
    </w:p>
    <w:p>
      <w:pPr>
        <w:pStyle w:val="TOC1"/>
        <w:rPr>
          <w:rFonts w:asciiTheme="minorHAnsi" w:hAnsiTheme="minorHAns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146</w:t>
        </w:r>
        <w:r>
          <w:fldChar w:fldCharType="end"/>
        </w:r>
      </w:hyperlink>
    </w:p>
    <w:p>
      <w:pPr>
        <w:pStyle w:val="TOC2"/>
        <w:rPr>
          <w:rFonts w:asciiTheme="minorHAnsi" w:hAnsiTheme="minorHAns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146</w:t>
        </w:r>
        <w:r>
          <w:fldChar w:fldCharType="end"/>
        </w:r>
      </w:hyperlink>
    </w:p>
    <w:p>
      <w:pPr>
        <w:pStyle w:val="TOC2"/>
        <w:rPr>
          <w:rFonts w:asciiTheme="minorHAnsi" w:hAnsiTheme="minorHAns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147</w:t>
        </w:r>
        <w:r>
          <w:fldChar w:fldCharType="end"/>
        </w:r>
      </w:hyperlink>
    </w:p>
    <w:p>
      <w:pPr>
        <w:pStyle w:val="TOC3"/>
        <w:rPr>
          <w:rFonts w:asciiTheme="minorHAnsi" w:hAnsiTheme="minorHAns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173</w:t>
        </w:r>
        <w:r>
          <w:fldChar w:fldCharType="end"/>
        </w:r>
      </w:hyperlink>
    </w:p>
    <w:p>
      <w:pPr>
        <w:pStyle w:val="TOC3"/>
        <w:rPr>
          <w:rFonts w:asciiTheme="minorHAnsi" w:hAnsiTheme="minorHAns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176</w:t>
        </w:r>
        <w:r>
          <w:fldChar w:fldCharType="end"/>
        </w:r>
      </w:hyperlink>
    </w:p>
    <w:p>
      <w:pPr>
        <w:pStyle w:val="TOC1"/>
        <w:rPr>
          <w:rFonts w:asciiTheme="minorHAnsi" w:hAnsiTheme="minorHAns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180</w:t>
        </w:r>
        <w:r>
          <w:fldChar w:fldCharType="end"/>
        </w:r>
      </w:hyperlink>
    </w:p>
    <w:p>
      <w:pPr>
        <w:pStyle w:val="TOC2"/>
        <w:rPr>
          <w:rFonts w:asciiTheme="minorHAnsi" w:hAnsiTheme="minorHAns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180</w:t>
        </w:r>
        <w:r>
          <w:fldChar w:fldCharType="end"/>
        </w:r>
      </w:hyperlink>
    </w:p>
    <w:p>
      <w:pPr>
        <w:pStyle w:val="TOC3"/>
        <w:rPr>
          <w:rFonts w:asciiTheme="minorHAnsi" w:hAnsiTheme="minorHAns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184</w:t>
        </w:r>
        <w:r>
          <w:fldChar w:fldCharType="end"/>
        </w:r>
      </w:hyperlink>
    </w:p>
    <w:p>
      <w:pPr>
        <w:pStyle w:val="TOC3"/>
        <w:rPr>
          <w:rFonts w:asciiTheme="minorHAnsi" w:hAnsiTheme="minorHAns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184</w:t>
        </w:r>
        <w:r>
          <w:fldChar w:fldCharType="end"/>
        </w:r>
      </w:hyperlink>
    </w:p>
    <w:p>
      <w:pPr>
        <w:pStyle w:val="TOC3"/>
        <w:rPr>
          <w:rFonts w:asciiTheme="minorHAnsi" w:hAnsiTheme="minorHAns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185</w:t>
        </w:r>
        <w:r>
          <w:fldChar w:fldCharType="end"/>
        </w:r>
      </w:hyperlink>
    </w:p>
    <w:p>
      <w:pPr>
        <w:pStyle w:val="TOC3"/>
        <w:rPr>
          <w:rFonts w:asciiTheme="minorHAnsi" w:hAnsiTheme="minorHAns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185</w:t>
        </w:r>
        <w:r>
          <w:fldChar w:fldCharType="end"/>
        </w:r>
      </w:hyperlink>
    </w:p>
    <w:p>
      <w:pPr>
        <w:pStyle w:val="TOC3"/>
        <w:rPr>
          <w:rFonts w:asciiTheme="minorHAnsi" w:hAnsiTheme="minorHAns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186</w:t>
        </w:r>
        <w:r>
          <w:fldChar w:fldCharType="end"/>
        </w:r>
      </w:hyperlink>
    </w:p>
    <w:p>
      <w:pPr>
        <w:pStyle w:val="TOC2"/>
        <w:rPr>
          <w:rFonts w:asciiTheme="minorHAnsi" w:hAnsiTheme="minorHAns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188</w:t>
        </w:r>
        <w:r>
          <w:fldChar w:fldCharType="end"/>
        </w:r>
      </w:hyperlink>
    </w:p>
    <w:p>
      <w:pPr>
        <w:pStyle w:val="TOC3"/>
        <w:rPr>
          <w:rFonts w:asciiTheme="minorHAnsi" w:hAnsiTheme="minorHAns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188</w:t>
        </w:r>
        <w:r>
          <w:fldChar w:fldCharType="end"/>
        </w:r>
      </w:hyperlink>
    </w:p>
    <w:p>
      <w:pPr>
        <w:pStyle w:val="TOC2"/>
        <w:rPr>
          <w:rFonts w:asciiTheme="minorHAnsi" w:hAnsiTheme="minorHAns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189</w:t>
        </w:r>
        <w:r>
          <w:fldChar w:fldCharType="end"/>
        </w:r>
      </w:hyperlink>
    </w:p>
    <w:p>
      <w:pPr>
        <w:pStyle w:val="TOC1"/>
        <w:rPr>
          <w:rFonts w:asciiTheme="minorHAnsi" w:hAnsiTheme="minorHAns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190</w:t>
        </w:r>
        <w:r>
          <w:fldChar w:fldCharType="end"/>
        </w:r>
      </w:hyperlink>
    </w:p>
    <w:p>
      <w:pPr>
        <w:pStyle w:val="TOC2"/>
        <w:rPr>
          <w:rFonts w:asciiTheme="minorHAnsi" w:hAnsiTheme="minorHAns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190</w:t>
        </w:r>
        <w:r>
          <w:fldChar w:fldCharType="end"/>
        </w:r>
      </w:hyperlink>
    </w:p>
    <w:p>
      <w:pPr>
        <w:pStyle w:val="TOC2"/>
        <w:rPr>
          <w:rFonts w:asciiTheme="minorHAnsi" w:hAnsiTheme="minorHAns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205</w:t>
        </w:r>
        <w:r>
          <w:fldChar w:fldCharType="end"/>
        </w:r>
      </w:hyperlink>
    </w:p>
    <w:p>
      <w:pPr>
        <w:pStyle w:val="TOC3"/>
        <w:rPr>
          <w:rFonts w:asciiTheme="minorHAnsi" w:hAnsiTheme="minorHAns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205</w:t>
        </w:r>
        <w:r>
          <w:fldChar w:fldCharType="end"/>
        </w:r>
      </w:hyperlink>
    </w:p>
    <w:p>
      <w:pPr>
        <w:pStyle w:val="TOC3"/>
        <w:rPr>
          <w:rFonts w:asciiTheme="minorHAnsi" w:hAnsiTheme="minorHAns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225</w:t>
        </w:r>
        <w:r>
          <w:fldChar w:fldCharType="end"/>
        </w:r>
      </w:hyperlink>
    </w:p>
    <w:p>
      <w:pPr>
        <w:pStyle w:val="TOC3"/>
        <w:rPr>
          <w:rFonts w:asciiTheme="minorHAnsi" w:hAnsiTheme="minorHAns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253</w:t>
        </w:r>
        <w:r>
          <w:fldChar w:fldCharType="end"/>
        </w:r>
      </w:hyperlink>
    </w:p>
    <w:p>
      <w:pPr>
        <w:pStyle w:val="TOC3"/>
        <w:rPr>
          <w:rFonts w:asciiTheme="minorHAnsi" w:hAnsiTheme="minorHAns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330</w:t>
        </w:r>
        <w:r>
          <w:fldChar w:fldCharType="end"/>
        </w:r>
      </w:hyperlink>
    </w:p>
    <w:p>
      <w:pPr>
        <w:pStyle w:val="TOC3"/>
        <w:rPr>
          <w:rFonts w:asciiTheme="minorHAnsi" w:hAnsiTheme="minorHAns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345</w:t>
        </w:r>
        <w:r>
          <w:fldChar w:fldCharType="end"/>
        </w:r>
      </w:hyperlink>
    </w:p>
    <w:p>
      <w:pPr>
        <w:pStyle w:val="TOC3"/>
        <w:rPr>
          <w:rFonts w:asciiTheme="minorHAnsi" w:hAnsiTheme="minorHAns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392</w:t>
        </w:r>
        <w:r>
          <w:fldChar w:fldCharType="end"/>
        </w:r>
      </w:hyperlink>
    </w:p>
    <w:p>
      <w:pPr>
        <w:pStyle w:val="TOC3"/>
        <w:rPr>
          <w:rFonts w:asciiTheme="minorHAnsi" w:hAnsiTheme="minorHAns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426</w:t>
        </w:r>
        <w:r>
          <w:fldChar w:fldCharType="end"/>
        </w:r>
      </w:hyperlink>
    </w:p>
    <w:p>
      <w:pPr>
        <w:pStyle w:val="TOC3"/>
        <w:rPr>
          <w:rFonts w:asciiTheme="minorHAnsi" w:hAnsiTheme="minorHAns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469</w:t>
        </w:r>
        <w:r>
          <w:fldChar w:fldCharType="end"/>
        </w:r>
      </w:hyperlink>
    </w:p>
    <w:p>
      <w:pPr>
        <w:pStyle w:val="TOC3"/>
        <w:rPr>
          <w:rFonts w:asciiTheme="minorHAnsi" w:hAnsiTheme="minorHAns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482</w:t>
        </w:r>
        <w:r>
          <w:fldChar w:fldCharType="end"/>
        </w:r>
      </w:hyperlink>
    </w:p>
    <w:p>
      <w:pPr>
        <w:pStyle w:val="TOC3"/>
        <w:rPr>
          <w:rFonts w:asciiTheme="minorHAnsi" w:hAnsiTheme="minorHAns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532</w:t>
        </w:r>
        <w:r>
          <w:fldChar w:fldCharType="end"/>
        </w:r>
      </w:hyperlink>
    </w:p>
    <w:p>
      <w:pPr>
        <w:pStyle w:val="TOC3"/>
        <w:rPr>
          <w:rFonts w:asciiTheme="minorHAnsi" w:hAnsiTheme="minorHAns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560</w:t>
        </w:r>
        <w:r>
          <w:fldChar w:fldCharType="end"/>
        </w:r>
      </w:hyperlink>
    </w:p>
    <w:p>
      <w:pPr>
        <w:pStyle w:val="TOC3"/>
        <w:rPr>
          <w:rFonts w:asciiTheme="minorHAnsi" w:hAnsiTheme="minorHAns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580</w:t>
        </w:r>
        <w:r>
          <w:fldChar w:fldCharType="end"/>
        </w:r>
      </w:hyperlink>
    </w:p>
    <w:p>
      <w:pPr>
        <w:pStyle w:val="TOC3"/>
        <w:rPr>
          <w:rFonts w:asciiTheme="minorHAnsi" w:hAnsiTheme="minorHAns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604</w:t>
        </w:r>
        <w:r>
          <w:fldChar w:fldCharType="end"/>
        </w:r>
      </w:hyperlink>
    </w:p>
    <w:p>
      <w:pPr>
        <w:pStyle w:val="TOC3"/>
        <w:rPr>
          <w:rFonts w:asciiTheme="minorHAnsi" w:hAnsiTheme="minorHAns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620</w:t>
        </w:r>
        <w:r>
          <w:fldChar w:fldCharType="end"/>
        </w:r>
      </w:hyperlink>
    </w:p>
    <w:p>
      <w:pPr>
        <w:pStyle w:val="TOC3"/>
        <w:rPr>
          <w:rFonts w:asciiTheme="minorHAnsi" w:hAnsiTheme="minorHAns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643</w:t>
        </w:r>
        <w:r>
          <w:fldChar w:fldCharType="end"/>
        </w:r>
      </w:hyperlink>
    </w:p>
    <w:p>
      <w:pPr>
        <w:pStyle w:val="TOC3"/>
        <w:rPr>
          <w:rFonts w:asciiTheme="minorHAnsi" w:hAnsiTheme="minorHAnsi"/>
          <w:noProof/>
          <w:sz w:val="22"/>
        </w:rPr>
      </w:pPr>
      <w:hyperlink w:anchor="_Toc256000133" w:history="1">
        <w:r>
          <w:rPr>
            <w:rStyle w:val="Hyperlink"/>
          </w:rPr>
          <w:t>8.2.16.</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_Toc256000133 \h </w:instrText>
        </w:r>
        <w:r>
          <w:fldChar w:fldCharType="separate"/>
        </w:r>
        <w:r>
          <w:t>686</w:t>
        </w:r>
        <w:r>
          <w:fldChar w:fldCharType="end"/>
        </w:r>
      </w:hyperlink>
    </w:p>
    <w:p>
      <w:pPr>
        <w:pStyle w:val="TOC3"/>
        <w:rPr>
          <w:rFonts w:asciiTheme="minorHAnsi" w:hAnsiTheme="minorHAnsi"/>
          <w:noProof/>
          <w:sz w:val="22"/>
        </w:rPr>
      </w:pPr>
      <w:hyperlink w:anchor="_Toc256000134" w:history="1">
        <w:r>
          <w:rPr>
            <w:rStyle w:val="Hyperlink"/>
          </w:rPr>
          <w:t>8.2.17.</w:t>
        </w:r>
        <w:r>
          <w:rPr>
            <w:rStyle w:val="Hyperlink"/>
          </w:rPr>
          <w:t xml:space="preserve"> </w:t>
        </w:r>
        <w:r>
          <w:rPr>
            <w:rStyle w:val="Hyperlink"/>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r>
          <w:tab/>
        </w:r>
        <w:r>
          <w:fldChar w:fldCharType="begin"/>
        </w:r>
        <w:r>
          <w:instrText xml:space="preserve"> PAGEREF _Toc256000134 \h </w:instrText>
        </w:r>
        <w:r>
          <w:fldChar w:fldCharType="separate"/>
        </w:r>
        <w:r>
          <w:t>718</w:t>
        </w:r>
        <w:r>
          <w:fldChar w:fldCharType="end"/>
        </w:r>
      </w:hyperlink>
    </w:p>
    <w:p>
      <w:pPr>
        <w:pStyle w:val="TOC1"/>
        <w:rPr>
          <w:rFonts w:asciiTheme="minorHAnsi" w:hAnsiTheme="minorHAnsi"/>
          <w:noProof/>
          <w:sz w:val="22"/>
        </w:rPr>
      </w:pPr>
      <w:hyperlink w:anchor="_Toc256000135"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_Toc256000135 \h </w:instrText>
        </w:r>
        <w:r>
          <w:fldChar w:fldCharType="separate"/>
        </w:r>
        <w:r>
          <w:t>738</w:t>
        </w:r>
        <w:r>
          <w:fldChar w:fldCharType="end"/>
        </w:r>
      </w:hyperlink>
    </w:p>
    <w:p>
      <w:pPr>
        <w:pStyle w:val="TOC2"/>
        <w:rPr>
          <w:rFonts w:asciiTheme="minorHAnsi" w:hAnsiTheme="minorHAnsi"/>
          <w:noProof/>
          <w:sz w:val="22"/>
        </w:rPr>
      </w:pPr>
      <w:hyperlink w:anchor="_Toc256000136" w:history="1">
        <w:r>
          <w:rPr>
            <w:rStyle w:val="Hyperlink"/>
          </w:rPr>
          <w:t>9.1.</w:t>
        </w:r>
        <w:r>
          <w:rPr>
            <w:rStyle w:val="Hyperlink"/>
          </w:rPr>
          <w:t xml:space="preserve"> </w:t>
        </w:r>
        <w:r>
          <w:rPr>
            <w:rStyle w:val="Hyperlink"/>
          </w:rPr>
          <w:t>Цели и задачи</w:t>
        </w:r>
        <w:r>
          <w:tab/>
        </w:r>
        <w:r>
          <w:fldChar w:fldCharType="begin"/>
        </w:r>
        <w:r>
          <w:instrText xml:space="preserve"> PAGEREF _Toc256000136 \h </w:instrText>
        </w:r>
        <w:r>
          <w:fldChar w:fldCharType="separate"/>
        </w:r>
        <w:r>
          <w:t>738</w:t>
        </w:r>
        <w:r>
          <w:fldChar w:fldCharType="end"/>
        </w:r>
      </w:hyperlink>
    </w:p>
    <w:p>
      <w:pPr>
        <w:pStyle w:val="TOC2"/>
        <w:rPr>
          <w:rFonts w:asciiTheme="minorHAnsi" w:hAnsiTheme="minorHAnsi"/>
          <w:noProof/>
          <w:sz w:val="22"/>
        </w:rPr>
      </w:pPr>
      <w:hyperlink w:anchor="_Toc256000137"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_Toc256000137 \h </w:instrText>
        </w:r>
        <w:r>
          <w:fldChar w:fldCharType="separate"/>
        </w:r>
        <w:r>
          <w:t>739</w:t>
        </w:r>
        <w:r>
          <w:fldChar w:fldCharType="end"/>
        </w:r>
      </w:hyperlink>
    </w:p>
    <w:p>
      <w:pPr>
        <w:pStyle w:val="TOC2"/>
        <w:rPr>
          <w:rFonts w:asciiTheme="minorHAnsi" w:hAnsiTheme="minorHAnsi"/>
          <w:noProof/>
          <w:sz w:val="22"/>
        </w:rPr>
      </w:pPr>
      <w:hyperlink w:anchor="_Toc256000138"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_Toc256000138 \h </w:instrText>
        </w:r>
        <w:r>
          <w:fldChar w:fldCharType="separate"/>
        </w:r>
        <w:r>
          <w:t>741</w:t>
        </w:r>
        <w:r>
          <w:fldChar w:fldCharType="end"/>
        </w:r>
      </w:hyperlink>
    </w:p>
    <w:p>
      <w:pPr>
        <w:pStyle w:val="TOC2"/>
        <w:rPr>
          <w:rFonts w:asciiTheme="minorHAnsi" w:hAnsiTheme="minorHAnsi"/>
          <w:noProof/>
          <w:sz w:val="22"/>
        </w:rPr>
      </w:pPr>
      <w:hyperlink w:anchor="_Toc256000139"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_Toc256000139 \h </w:instrText>
        </w:r>
        <w:r>
          <w:fldChar w:fldCharType="separate"/>
        </w:r>
        <w:r>
          <w:t>745</w:t>
        </w:r>
        <w:r>
          <w:fldChar w:fldCharType="end"/>
        </w:r>
      </w:hyperlink>
    </w:p>
    <w:p>
      <w:pPr>
        <w:pStyle w:val="TOC2"/>
        <w:rPr>
          <w:rFonts w:asciiTheme="minorHAnsi" w:hAnsiTheme="minorHAnsi"/>
          <w:noProof/>
          <w:sz w:val="22"/>
        </w:rPr>
      </w:pPr>
      <w:hyperlink w:anchor="_Toc256000140" w:history="1">
        <w:r>
          <w:rPr>
            <w:rStyle w:val="Hyperlink"/>
          </w:rPr>
          <w:t>9.5.</w:t>
        </w:r>
        <w:r>
          <w:rPr>
            <w:rStyle w:val="Hyperlink"/>
          </w:rPr>
          <w:t xml:space="preserve"> </w:t>
        </w:r>
        <w:r>
          <w:rPr>
            <w:rStyle w:val="Hyperlink"/>
          </w:rPr>
          <w:t>График</w:t>
        </w:r>
        <w:r>
          <w:tab/>
        </w:r>
        <w:r>
          <w:fldChar w:fldCharType="begin"/>
        </w:r>
        <w:r>
          <w:instrText xml:space="preserve"> PAGEREF _Toc256000140 \h </w:instrText>
        </w:r>
        <w:r>
          <w:fldChar w:fldCharType="separate"/>
        </w:r>
        <w:r>
          <w:t>747</w:t>
        </w:r>
        <w:r>
          <w:fldChar w:fldCharType="end"/>
        </w:r>
      </w:hyperlink>
    </w:p>
    <w:p>
      <w:pPr>
        <w:pStyle w:val="TOC2"/>
        <w:rPr>
          <w:rFonts w:asciiTheme="minorHAnsi" w:hAnsiTheme="minorHAnsi"/>
          <w:noProof/>
          <w:sz w:val="22"/>
        </w:rPr>
      </w:pPr>
      <w:hyperlink w:anchor="_Toc256000141" w:history="1">
        <w:r>
          <w:rPr>
            <w:rStyle w:val="Hyperlink"/>
          </w:rPr>
          <w:t>9.6.</w:t>
        </w:r>
        <w:r>
          <w:rPr>
            <w:rStyle w:val="Hyperlink"/>
          </w:rPr>
          <w:t xml:space="preserve"> </w:t>
        </w:r>
        <w:r>
          <w:rPr>
            <w:rStyle w:val="Hyperlink"/>
          </w:rPr>
          <w:t>Комуникация</w:t>
        </w:r>
        <w:r>
          <w:tab/>
        </w:r>
        <w:r>
          <w:fldChar w:fldCharType="begin"/>
        </w:r>
        <w:r>
          <w:instrText xml:space="preserve"> PAGEREF _Toc256000141 \h </w:instrText>
        </w:r>
        <w:r>
          <w:fldChar w:fldCharType="separate"/>
        </w:r>
        <w:r>
          <w:t>748</w:t>
        </w:r>
        <w:r>
          <w:fldChar w:fldCharType="end"/>
        </w:r>
      </w:hyperlink>
    </w:p>
    <w:p>
      <w:pPr>
        <w:pStyle w:val="TOC2"/>
        <w:rPr>
          <w:rFonts w:asciiTheme="minorHAnsi" w:hAnsiTheme="minorHAnsi"/>
          <w:noProof/>
          <w:sz w:val="22"/>
        </w:rPr>
      </w:pPr>
      <w:hyperlink w:anchor="_Toc256000142" w:history="1">
        <w:r>
          <w:rPr>
            <w:rStyle w:val="Hyperlink"/>
          </w:rPr>
          <w:t>9.7.</w:t>
        </w:r>
        <w:r>
          <w:rPr>
            <w:rStyle w:val="Hyperlink"/>
          </w:rPr>
          <w:t xml:space="preserve"> </w:t>
        </w:r>
        <w:r>
          <w:rPr>
            <w:rStyle w:val="Hyperlink"/>
          </w:rPr>
          <w:t>Ресурси</w:t>
        </w:r>
        <w:r>
          <w:tab/>
        </w:r>
        <w:r>
          <w:fldChar w:fldCharType="begin"/>
        </w:r>
        <w:r>
          <w:instrText xml:space="preserve"> PAGEREF _Toc256000142 \h </w:instrText>
        </w:r>
        <w:r>
          <w:fldChar w:fldCharType="separate"/>
        </w:r>
        <w:r>
          <w:t>749</w:t>
        </w:r>
        <w:r>
          <w:fldChar w:fldCharType="end"/>
        </w:r>
      </w:hyperlink>
    </w:p>
    <w:p>
      <w:pPr>
        <w:pStyle w:val="TOC1"/>
        <w:rPr>
          <w:rFonts w:asciiTheme="minorHAnsi" w:hAnsiTheme="minorHAnsi"/>
          <w:noProof/>
          <w:sz w:val="22"/>
        </w:rPr>
      </w:pPr>
      <w:hyperlink w:anchor="_Toc256000143"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_Toc256000143 \h </w:instrText>
        </w:r>
        <w:r>
          <w:fldChar w:fldCharType="separate"/>
        </w:r>
        <w:r>
          <w:t>751</w:t>
        </w:r>
        <w:r>
          <w:fldChar w:fldCharType="end"/>
        </w:r>
      </w:hyperlink>
    </w:p>
    <w:p>
      <w:pPr>
        <w:pStyle w:val="TOC2"/>
        <w:rPr>
          <w:rFonts w:asciiTheme="minorHAnsi" w:hAnsiTheme="minorHAnsi"/>
          <w:noProof/>
          <w:sz w:val="22"/>
        </w:rPr>
      </w:pPr>
      <w:hyperlink w:anchor="_Toc256000144"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_Toc256000144 \h </w:instrText>
        </w:r>
        <w:r>
          <w:fldChar w:fldCharType="separate"/>
        </w:r>
        <w:r>
          <w:t>751</w:t>
        </w:r>
        <w:r>
          <w:fldChar w:fldCharType="end"/>
        </w:r>
      </w:hyperlink>
    </w:p>
    <w:p>
      <w:pPr>
        <w:pStyle w:val="TOC2"/>
        <w:rPr>
          <w:rFonts w:asciiTheme="minorHAnsi" w:hAnsiTheme="minorHAnsi"/>
          <w:noProof/>
          <w:sz w:val="22"/>
        </w:rPr>
      </w:pPr>
      <w:hyperlink w:anchor="_Toc256000145"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_Toc256000145 \h </w:instrText>
        </w:r>
        <w:r>
          <w:fldChar w:fldCharType="separate"/>
        </w:r>
        <w:r>
          <w:t>753</w:t>
        </w:r>
        <w:r>
          <w:fldChar w:fldCharType="end"/>
        </w:r>
      </w:hyperlink>
    </w:p>
    <w:p>
      <w:pPr>
        <w:pStyle w:val="TOC2"/>
        <w:rPr>
          <w:rFonts w:asciiTheme="minorHAnsi" w:hAnsiTheme="minorHAnsi"/>
          <w:noProof/>
          <w:sz w:val="22"/>
        </w:rPr>
      </w:pPr>
      <w:hyperlink w:anchor="_Toc256000146" w:history="1">
        <w:r>
          <w:rPr>
            <w:rStyle w:val="Hyperlink"/>
          </w:rPr>
          <w:t>10.3.</w:t>
        </w:r>
        <w:r>
          <w:rPr>
            <w:rStyle w:val="Hyperlink"/>
          </w:rPr>
          <w:t xml:space="preserve"> </w:t>
        </w:r>
        <w:r>
          <w:rPr>
            <w:rStyle w:val="Hyperlink"/>
          </w:rPr>
          <w:t>Разпределение по мярка или вид операция, с конкретния размер на процентното участие на ЕЗФРСР (в евро за целия период 2014—2022 г.)</w:t>
        </w:r>
        <w:r>
          <w:tab/>
        </w:r>
        <w:r>
          <w:fldChar w:fldCharType="begin"/>
        </w:r>
        <w:r>
          <w:instrText xml:space="preserve"> PAGEREF _Toc256000146 \h </w:instrText>
        </w:r>
        <w:r>
          <w:fldChar w:fldCharType="separate"/>
        </w:r>
        <w:r>
          <w:t>754</w:t>
        </w:r>
        <w:r>
          <w:fldChar w:fldCharType="end"/>
        </w:r>
      </w:hyperlink>
    </w:p>
    <w:p>
      <w:pPr>
        <w:pStyle w:val="TOC3"/>
        <w:rPr>
          <w:rFonts w:asciiTheme="minorHAnsi" w:hAnsiTheme="minorHAnsi"/>
          <w:noProof/>
          <w:sz w:val="22"/>
        </w:rPr>
      </w:pPr>
      <w:hyperlink w:anchor="_Toc256000147"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_Toc256000147 \h </w:instrText>
        </w:r>
        <w:r>
          <w:fldChar w:fldCharType="separate"/>
        </w:r>
        <w:r>
          <w:t>754</w:t>
        </w:r>
        <w:r>
          <w:fldChar w:fldCharType="end"/>
        </w:r>
      </w:hyperlink>
    </w:p>
    <w:p>
      <w:pPr>
        <w:pStyle w:val="TOC3"/>
        <w:rPr>
          <w:rFonts w:asciiTheme="minorHAnsi" w:hAnsiTheme="minorHAnsi"/>
          <w:noProof/>
          <w:sz w:val="22"/>
        </w:rPr>
      </w:pPr>
      <w:hyperlink w:anchor="_Toc256000148"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_Toc256000148 \h </w:instrText>
        </w:r>
        <w:r>
          <w:fldChar w:fldCharType="separate"/>
        </w:r>
        <w:r>
          <w:t>756</w:t>
        </w:r>
        <w:r>
          <w:fldChar w:fldCharType="end"/>
        </w:r>
      </w:hyperlink>
    </w:p>
    <w:p>
      <w:pPr>
        <w:pStyle w:val="TOC3"/>
        <w:rPr>
          <w:rFonts w:asciiTheme="minorHAnsi" w:hAnsiTheme="minorHAnsi"/>
          <w:noProof/>
          <w:sz w:val="22"/>
        </w:rPr>
      </w:pPr>
      <w:hyperlink w:anchor="_Toc256000149"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_Toc256000149 \h </w:instrText>
        </w:r>
        <w:r>
          <w:fldChar w:fldCharType="separate"/>
        </w:r>
        <w:r>
          <w:t>758</w:t>
        </w:r>
        <w:r>
          <w:fldChar w:fldCharType="end"/>
        </w:r>
      </w:hyperlink>
    </w:p>
    <w:p>
      <w:pPr>
        <w:pStyle w:val="TOC3"/>
        <w:rPr>
          <w:rFonts w:asciiTheme="minorHAnsi" w:hAnsiTheme="minorHAnsi"/>
          <w:noProof/>
          <w:sz w:val="22"/>
        </w:rPr>
      </w:pPr>
      <w:hyperlink w:anchor="_Toc256000150"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_Toc256000150 \h </w:instrText>
        </w:r>
        <w:r>
          <w:fldChar w:fldCharType="separate"/>
        </w:r>
        <w:r>
          <w:t>761</w:t>
        </w:r>
        <w:r>
          <w:fldChar w:fldCharType="end"/>
        </w:r>
      </w:hyperlink>
    </w:p>
    <w:p>
      <w:pPr>
        <w:pStyle w:val="TOC3"/>
        <w:rPr>
          <w:rFonts w:asciiTheme="minorHAnsi" w:hAnsiTheme="minorHAnsi"/>
          <w:noProof/>
          <w:sz w:val="22"/>
        </w:rPr>
      </w:pPr>
      <w:hyperlink w:anchor="_Toc256000151"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_Toc256000151 \h </w:instrText>
        </w:r>
        <w:r>
          <w:fldChar w:fldCharType="separate"/>
        </w:r>
        <w:r>
          <w:t>762</w:t>
        </w:r>
        <w:r>
          <w:fldChar w:fldCharType="end"/>
        </w:r>
      </w:hyperlink>
    </w:p>
    <w:p>
      <w:pPr>
        <w:pStyle w:val="TOC3"/>
        <w:rPr>
          <w:rFonts w:asciiTheme="minorHAnsi" w:hAnsiTheme="minorHAnsi"/>
          <w:noProof/>
          <w:sz w:val="22"/>
        </w:rPr>
      </w:pPr>
      <w:hyperlink w:anchor="_Toc256000152"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_Toc256000152 \h </w:instrText>
        </w:r>
        <w:r>
          <w:fldChar w:fldCharType="separate"/>
        </w:r>
        <w:r>
          <w:t>764</w:t>
        </w:r>
        <w:r>
          <w:fldChar w:fldCharType="end"/>
        </w:r>
      </w:hyperlink>
    </w:p>
    <w:p>
      <w:pPr>
        <w:pStyle w:val="TOC3"/>
        <w:rPr>
          <w:rFonts w:asciiTheme="minorHAnsi" w:hAnsiTheme="minorHAnsi"/>
          <w:noProof/>
          <w:sz w:val="22"/>
        </w:rPr>
      </w:pPr>
      <w:hyperlink w:anchor="_Toc256000153"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_Toc256000153 \h </w:instrText>
        </w:r>
        <w:r>
          <w:fldChar w:fldCharType="separate"/>
        </w:r>
        <w:r>
          <w:t>765</w:t>
        </w:r>
        <w:r>
          <w:fldChar w:fldCharType="end"/>
        </w:r>
      </w:hyperlink>
    </w:p>
    <w:p>
      <w:pPr>
        <w:pStyle w:val="TOC3"/>
        <w:rPr>
          <w:rFonts w:asciiTheme="minorHAnsi" w:hAnsiTheme="minorHAnsi"/>
          <w:noProof/>
          <w:sz w:val="22"/>
        </w:rPr>
      </w:pPr>
      <w:hyperlink w:anchor="_Toc256000154"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_Toc256000154 \h </w:instrText>
        </w:r>
        <w:r>
          <w:fldChar w:fldCharType="separate"/>
        </w:r>
        <w:r>
          <w:t>767</w:t>
        </w:r>
        <w:r>
          <w:fldChar w:fldCharType="end"/>
        </w:r>
      </w:hyperlink>
    </w:p>
    <w:p>
      <w:pPr>
        <w:pStyle w:val="TOC3"/>
        <w:rPr>
          <w:rFonts w:asciiTheme="minorHAnsi" w:hAnsiTheme="minorHAnsi"/>
          <w:noProof/>
          <w:sz w:val="22"/>
        </w:rPr>
      </w:pPr>
      <w:hyperlink w:anchor="_Toc256000155"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_Toc256000155 \h </w:instrText>
        </w:r>
        <w:r>
          <w:fldChar w:fldCharType="separate"/>
        </w:r>
        <w:r>
          <w:t>769</w:t>
        </w:r>
        <w:r>
          <w:fldChar w:fldCharType="end"/>
        </w:r>
      </w:hyperlink>
    </w:p>
    <w:p>
      <w:pPr>
        <w:pStyle w:val="TOC3"/>
        <w:rPr>
          <w:rFonts w:asciiTheme="minorHAnsi" w:hAnsiTheme="minorHAnsi"/>
          <w:noProof/>
          <w:sz w:val="22"/>
        </w:rPr>
      </w:pPr>
      <w:hyperlink w:anchor="_Toc256000156"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_Toc256000156 \h </w:instrText>
        </w:r>
        <w:r>
          <w:fldChar w:fldCharType="separate"/>
        </w:r>
        <w:r>
          <w:t>771</w:t>
        </w:r>
        <w:r>
          <w:fldChar w:fldCharType="end"/>
        </w:r>
      </w:hyperlink>
    </w:p>
    <w:p>
      <w:pPr>
        <w:pStyle w:val="TOC3"/>
        <w:rPr>
          <w:rFonts w:asciiTheme="minorHAnsi" w:hAnsiTheme="minorHAnsi"/>
          <w:noProof/>
          <w:sz w:val="22"/>
        </w:rPr>
      </w:pPr>
      <w:hyperlink w:anchor="_Toc256000157"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_Toc256000157 \h </w:instrText>
        </w:r>
        <w:r>
          <w:fldChar w:fldCharType="separate"/>
        </w:r>
        <w:r>
          <w:t>773</w:t>
        </w:r>
        <w:r>
          <w:fldChar w:fldCharType="end"/>
        </w:r>
      </w:hyperlink>
    </w:p>
    <w:p>
      <w:pPr>
        <w:pStyle w:val="TOC3"/>
        <w:rPr>
          <w:rFonts w:asciiTheme="minorHAnsi" w:hAnsiTheme="minorHAnsi"/>
          <w:noProof/>
          <w:sz w:val="22"/>
        </w:rPr>
      </w:pPr>
      <w:hyperlink w:anchor="_Toc256000158"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_Toc256000158 \h </w:instrText>
        </w:r>
        <w:r>
          <w:fldChar w:fldCharType="separate"/>
        </w:r>
        <w:r>
          <w:t>775</w:t>
        </w:r>
        <w:r>
          <w:fldChar w:fldCharType="end"/>
        </w:r>
      </w:hyperlink>
    </w:p>
    <w:p>
      <w:pPr>
        <w:pStyle w:val="TOC3"/>
        <w:rPr>
          <w:rFonts w:asciiTheme="minorHAnsi" w:hAnsiTheme="minorHAnsi"/>
          <w:noProof/>
          <w:sz w:val="22"/>
        </w:rPr>
      </w:pPr>
      <w:hyperlink w:anchor="_Toc256000159"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_Toc256000159 \h </w:instrText>
        </w:r>
        <w:r>
          <w:fldChar w:fldCharType="separate"/>
        </w:r>
        <w:r>
          <w:t>777</w:t>
        </w:r>
        <w:r>
          <w:fldChar w:fldCharType="end"/>
        </w:r>
      </w:hyperlink>
    </w:p>
    <w:p>
      <w:pPr>
        <w:pStyle w:val="TOC3"/>
        <w:rPr>
          <w:rFonts w:asciiTheme="minorHAnsi" w:hAnsiTheme="minorHAnsi"/>
          <w:noProof/>
          <w:sz w:val="22"/>
        </w:rPr>
      </w:pPr>
      <w:hyperlink w:anchor="_Toc256000160"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_Toc256000160 \h </w:instrText>
        </w:r>
        <w:r>
          <w:fldChar w:fldCharType="separate"/>
        </w:r>
        <w:r>
          <w:t>778</w:t>
        </w:r>
        <w:r>
          <w:fldChar w:fldCharType="end"/>
        </w:r>
      </w:hyperlink>
    </w:p>
    <w:p>
      <w:pPr>
        <w:pStyle w:val="TOC3"/>
        <w:rPr>
          <w:rFonts w:asciiTheme="minorHAnsi" w:hAnsiTheme="minorHAnsi"/>
          <w:noProof/>
          <w:sz w:val="22"/>
        </w:rPr>
      </w:pPr>
      <w:hyperlink w:anchor="_Toc256000161"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_Toc256000161 \h </w:instrText>
        </w:r>
        <w:r>
          <w:fldChar w:fldCharType="separate"/>
        </w:r>
        <w:r>
          <w:t>780</w:t>
        </w:r>
        <w:r>
          <w:fldChar w:fldCharType="end"/>
        </w:r>
      </w:hyperlink>
    </w:p>
    <w:p>
      <w:pPr>
        <w:pStyle w:val="TOC3"/>
        <w:rPr>
          <w:rFonts w:asciiTheme="minorHAnsi" w:hAnsiTheme="minorHAnsi"/>
          <w:noProof/>
          <w:sz w:val="22"/>
        </w:rPr>
      </w:pPr>
      <w:hyperlink w:anchor="_Toc256000162"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_Toc256000162 \h </w:instrText>
        </w:r>
        <w:r>
          <w:fldChar w:fldCharType="separate"/>
        </w:r>
        <w:r>
          <w:t>782</w:t>
        </w:r>
        <w:r>
          <w:fldChar w:fldCharType="end"/>
        </w:r>
      </w:hyperlink>
    </w:p>
    <w:p>
      <w:pPr>
        <w:pStyle w:val="TOC3"/>
        <w:rPr>
          <w:rFonts w:asciiTheme="minorHAnsi" w:hAnsiTheme="minorHAnsi"/>
          <w:noProof/>
          <w:sz w:val="22"/>
        </w:rPr>
      </w:pPr>
      <w:hyperlink w:anchor="_Toc256000163" w:history="1">
        <w:r>
          <w:rPr>
            <w:rStyle w:val="Hyperlink"/>
          </w:rPr>
          <w:t>10.3.17.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_Toc256000163 \h </w:instrText>
        </w:r>
        <w:r>
          <w:fldChar w:fldCharType="separate"/>
        </w:r>
        <w:r>
          <w:t>783</w:t>
        </w:r>
        <w:r>
          <w:fldChar w:fldCharType="end"/>
        </w:r>
      </w:hyperlink>
    </w:p>
    <w:p>
      <w:pPr>
        <w:pStyle w:val="TOC3"/>
        <w:rPr>
          <w:rFonts w:asciiTheme="minorHAnsi" w:hAnsiTheme="minorHAnsi"/>
          <w:noProof/>
          <w:sz w:val="22"/>
        </w:rPr>
      </w:pPr>
      <w:hyperlink w:anchor="_Toc256000164" w:history="1">
        <w:r>
          <w:rPr>
            <w:rStyle w:val="Hyperlink"/>
          </w:rPr>
          <w:t>10.3.18.</w:t>
        </w:r>
        <w:r>
          <w:rPr>
            <w:rStyle w:val="Hyperlink"/>
          </w:rPr>
          <w:t xml:space="preserve"> </w:t>
        </w:r>
        <w:r>
          <w:rPr>
            <w:rStyle w:val="Hyperlink"/>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r>
          <w:tab/>
        </w:r>
        <w:r>
          <w:fldChar w:fldCharType="begin"/>
        </w:r>
        <w:r>
          <w:instrText xml:space="preserve"> PAGEREF _Toc256000164 \h </w:instrText>
        </w:r>
        <w:r>
          <w:fldChar w:fldCharType="separate"/>
        </w:r>
        <w:r>
          <w:t>784</w:t>
        </w:r>
        <w:r>
          <w:fldChar w:fldCharType="end"/>
        </w:r>
      </w:hyperlink>
    </w:p>
    <w:p>
      <w:pPr>
        <w:pStyle w:val="TOC2"/>
        <w:rPr>
          <w:rFonts w:asciiTheme="minorHAnsi" w:hAnsiTheme="minorHAnsi"/>
          <w:noProof/>
          <w:sz w:val="22"/>
        </w:rPr>
      </w:pPr>
      <w:hyperlink w:anchor="_Toc256000165"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_Toc256000165 \h </w:instrText>
        </w:r>
        <w:r>
          <w:fldChar w:fldCharType="separate"/>
        </w:r>
        <w:r>
          <w:t>785</w:t>
        </w:r>
        <w:r>
          <w:fldChar w:fldCharType="end"/>
        </w:r>
      </w:hyperlink>
    </w:p>
    <w:p>
      <w:pPr>
        <w:pStyle w:val="TOC1"/>
        <w:rPr>
          <w:rFonts w:asciiTheme="minorHAnsi" w:hAnsiTheme="minorHAnsi"/>
          <w:noProof/>
          <w:sz w:val="22"/>
        </w:rPr>
      </w:pPr>
      <w:hyperlink w:anchor="_Toc256000166"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_Toc256000166 \h </w:instrText>
        </w:r>
        <w:r>
          <w:fldChar w:fldCharType="separate"/>
        </w:r>
        <w:r>
          <w:t>787</w:t>
        </w:r>
        <w:r>
          <w:fldChar w:fldCharType="end"/>
        </w:r>
      </w:hyperlink>
    </w:p>
    <w:p>
      <w:pPr>
        <w:pStyle w:val="TOC2"/>
        <w:rPr>
          <w:rFonts w:asciiTheme="minorHAnsi" w:hAnsiTheme="minorHAnsi"/>
          <w:noProof/>
          <w:sz w:val="22"/>
        </w:rPr>
      </w:pPr>
      <w:hyperlink w:anchor="_Toc256000167"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_Toc256000167 \h </w:instrText>
        </w:r>
        <w:r>
          <w:fldChar w:fldCharType="separate"/>
        </w:r>
        <w:r>
          <w:t>787</w:t>
        </w:r>
        <w:r>
          <w:fldChar w:fldCharType="end"/>
        </w:r>
      </w:hyperlink>
    </w:p>
    <w:p>
      <w:pPr>
        <w:pStyle w:val="TOC3"/>
        <w:rPr>
          <w:rFonts w:asciiTheme="minorHAnsi" w:hAnsiTheme="minorHAnsi"/>
          <w:noProof/>
          <w:sz w:val="22"/>
        </w:rPr>
      </w:pPr>
      <w:hyperlink w:anchor="_Toc256000168"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_Toc256000168 \h </w:instrText>
        </w:r>
        <w:r>
          <w:fldChar w:fldCharType="separate"/>
        </w:r>
        <w:r>
          <w:t>787</w:t>
        </w:r>
        <w:r>
          <w:fldChar w:fldCharType="end"/>
        </w:r>
      </w:hyperlink>
    </w:p>
    <w:p>
      <w:pPr>
        <w:pStyle w:val="TOC3"/>
        <w:rPr>
          <w:rFonts w:asciiTheme="minorHAnsi" w:hAnsiTheme="minorHAnsi"/>
          <w:noProof/>
          <w:sz w:val="22"/>
        </w:rPr>
      </w:pPr>
      <w:hyperlink w:anchor="_Toc256000169"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_Toc256000169 \h </w:instrText>
        </w:r>
        <w:r>
          <w:fldChar w:fldCharType="separate"/>
        </w:r>
        <w:r>
          <w:t>790</w:t>
        </w:r>
        <w:r>
          <w:fldChar w:fldCharType="end"/>
        </w:r>
      </w:hyperlink>
    </w:p>
    <w:p>
      <w:pPr>
        <w:pStyle w:val="TOC3"/>
        <w:rPr>
          <w:rFonts w:asciiTheme="minorHAnsi" w:hAnsiTheme="minorHAnsi"/>
          <w:noProof/>
          <w:sz w:val="22"/>
        </w:rPr>
      </w:pPr>
      <w:hyperlink w:anchor="_Toc256000170"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_Toc256000170 \h </w:instrText>
        </w:r>
        <w:r>
          <w:fldChar w:fldCharType="separate"/>
        </w:r>
        <w:r>
          <w:t>795</w:t>
        </w:r>
        <w:r>
          <w:fldChar w:fldCharType="end"/>
        </w:r>
      </w:hyperlink>
    </w:p>
    <w:p>
      <w:pPr>
        <w:pStyle w:val="TOC3"/>
        <w:rPr>
          <w:rFonts w:asciiTheme="minorHAnsi" w:hAnsiTheme="minorHAnsi"/>
          <w:noProof/>
          <w:sz w:val="22"/>
        </w:rPr>
      </w:pPr>
      <w:hyperlink w:anchor="_Toc256000171"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_Toc256000171 \h </w:instrText>
        </w:r>
        <w:r>
          <w:fldChar w:fldCharType="separate"/>
        </w:r>
        <w:r>
          <w:t>799</w:t>
        </w:r>
        <w:r>
          <w:fldChar w:fldCharType="end"/>
        </w:r>
      </w:hyperlink>
    </w:p>
    <w:p>
      <w:pPr>
        <w:pStyle w:val="TOC3"/>
        <w:rPr>
          <w:rFonts w:asciiTheme="minorHAnsi" w:hAnsiTheme="minorHAnsi"/>
          <w:noProof/>
          <w:sz w:val="22"/>
        </w:rPr>
      </w:pPr>
      <w:hyperlink w:anchor="_Toc256000172"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_Toc256000172 \h </w:instrText>
        </w:r>
        <w:r>
          <w:fldChar w:fldCharType="separate"/>
        </w:r>
        <w:r>
          <w:t>804</w:t>
        </w:r>
        <w:r>
          <w:fldChar w:fldCharType="end"/>
        </w:r>
      </w:hyperlink>
    </w:p>
    <w:p>
      <w:pPr>
        <w:pStyle w:val="TOC3"/>
        <w:rPr>
          <w:rFonts w:asciiTheme="minorHAnsi" w:hAnsiTheme="minorHAnsi"/>
          <w:noProof/>
          <w:sz w:val="22"/>
        </w:rPr>
      </w:pPr>
      <w:hyperlink w:anchor="_Toc256000173"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_Toc256000173 \h </w:instrText>
        </w:r>
        <w:r>
          <w:fldChar w:fldCharType="separate"/>
        </w:r>
        <w:r>
          <w:t>812</w:t>
        </w:r>
        <w:r>
          <w:fldChar w:fldCharType="end"/>
        </w:r>
      </w:hyperlink>
    </w:p>
    <w:p>
      <w:pPr>
        <w:pStyle w:val="TOC2"/>
        <w:rPr>
          <w:rFonts w:asciiTheme="minorHAnsi" w:hAnsiTheme="minorHAnsi"/>
          <w:noProof/>
          <w:sz w:val="22"/>
        </w:rPr>
      </w:pPr>
      <w:hyperlink w:anchor="_Toc256000174"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_Toc256000174 \h </w:instrText>
        </w:r>
        <w:r>
          <w:fldChar w:fldCharType="separate"/>
        </w:r>
        <w:r>
          <w:t>817</w:t>
        </w:r>
        <w:r>
          <w:fldChar w:fldCharType="end"/>
        </w:r>
      </w:hyperlink>
    </w:p>
    <w:p>
      <w:pPr>
        <w:pStyle w:val="TOC2"/>
        <w:rPr>
          <w:rFonts w:asciiTheme="minorHAnsi" w:hAnsiTheme="minorHAnsi"/>
          <w:noProof/>
          <w:sz w:val="22"/>
        </w:rPr>
      </w:pPr>
      <w:hyperlink w:anchor="_Toc256000175"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_Toc256000175 \h </w:instrText>
        </w:r>
        <w:r>
          <w:fldChar w:fldCharType="separate"/>
        </w:r>
        <w:r>
          <w:t>823</w:t>
        </w:r>
        <w:r>
          <w:fldChar w:fldCharType="end"/>
        </w:r>
      </w:hyperlink>
    </w:p>
    <w:p>
      <w:pPr>
        <w:pStyle w:val="TOC2"/>
        <w:rPr>
          <w:rFonts w:asciiTheme="minorHAnsi" w:hAnsiTheme="minorHAnsi"/>
          <w:noProof/>
          <w:sz w:val="22"/>
        </w:rPr>
      </w:pPr>
      <w:hyperlink w:anchor="_Toc256000176"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_Toc256000176 \h </w:instrText>
        </w:r>
        <w:r>
          <w:fldChar w:fldCharType="separate"/>
        </w:r>
        <w:r>
          <w:t>833</w:t>
        </w:r>
        <w:r>
          <w:fldChar w:fldCharType="end"/>
        </w:r>
      </w:hyperlink>
    </w:p>
    <w:p>
      <w:pPr>
        <w:pStyle w:val="TOC3"/>
        <w:rPr>
          <w:rFonts w:asciiTheme="minorHAnsi" w:hAnsiTheme="minorHAnsi"/>
          <w:noProof/>
          <w:sz w:val="22"/>
        </w:rPr>
      </w:pPr>
      <w:hyperlink w:anchor="_Toc256000177"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_Toc256000177 \h </w:instrText>
        </w:r>
        <w:r>
          <w:fldChar w:fldCharType="separate"/>
        </w:r>
        <w:r>
          <w:t>833</w:t>
        </w:r>
        <w:r>
          <w:fldChar w:fldCharType="end"/>
        </w:r>
      </w:hyperlink>
    </w:p>
    <w:p>
      <w:pPr>
        <w:pStyle w:val="TOC3"/>
        <w:rPr>
          <w:rFonts w:asciiTheme="minorHAnsi" w:hAnsiTheme="minorHAnsi"/>
          <w:noProof/>
          <w:sz w:val="22"/>
        </w:rPr>
      </w:pPr>
      <w:hyperlink w:anchor="_Toc256000178"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_Toc256000178 \h </w:instrText>
        </w:r>
        <w:r>
          <w:fldChar w:fldCharType="separate"/>
        </w:r>
        <w:r>
          <w:t>837</w:t>
        </w:r>
        <w:r>
          <w:fldChar w:fldCharType="end"/>
        </w:r>
      </w:hyperlink>
    </w:p>
    <w:p>
      <w:pPr>
        <w:pStyle w:val="TOC2"/>
        <w:rPr>
          <w:rFonts w:asciiTheme="minorHAnsi" w:hAnsiTheme="minorHAnsi"/>
          <w:noProof/>
          <w:sz w:val="22"/>
        </w:rPr>
      </w:pPr>
      <w:hyperlink w:anchor="_Toc256000179"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_Toc256000179 \h </w:instrText>
        </w:r>
        <w:r>
          <w:fldChar w:fldCharType="separate"/>
        </w:r>
        <w:r>
          <w:t>838</w:t>
        </w:r>
        <w:r>
          <w:fldChar w:fldCharType="end"/>
        </w:r>
      </w:hyperlink>
    </w:p>
    <w:p>
      <w:pPr>
        <w:pStyle w:val="TOC1"/>
        <w:rPr>
          <w:rFonts w:asciiTheme="minorHAnsi" w:hAnsiTheme="minorHAnsi"/>
          <w:noProof/>
          <w:sz w:val="22"/>
        </w:rPr>
      </w:pPr>
      <w:hyperlink w:anchor="_Toc256000180"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_Toc256000180 \h </w:instrText>
        </w:r>
        <w:r>
          <w:fldChar w:fldCharType="separate"/>
        </w:r>
        <w:r>
          <w:t>839</w:t>
        </w:r>
        <w:r>
          <w:fldChar w:fldCharType="end"/>
        </w:r>
      </w:hyperlink>
    </w:p>
    <w:p>
      <w:pPr>
        <w:pStyle w:val="TOC2"/>
        <w:rPr>
          <w:rFonts w:asciiTheme="minorHAnsi" w:hAnsiTheme="minorHAnsi"/>
          <w:noProof/>
          <w:sz w:val="22"/>
        </w:rPr>
      </w:pPr>
      <w:hyperlink w:anchor="_Toc256000181"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_Toc256000181 \h </w:instrText>
        </w:r>
        <w:r>
          <w:fldChar w:fldCharType="separate"/>
        </w:r>
        <w:r>
          <w:t>840</w:t>
        </w:r>
        <w:r>
          <w:fldChar w:fldCharType="end"/>
        </w:r>
      </w:hyperlink>
    </w:p>
    <w:p>
      <w:pPr>
        <w:pStyle w:val="TOC2"/>
        <w:rPr>
          <w:rFonts w:asciiTheme="minorHAnsi" w:hAnsiTheme="minorHAnsi"/>
          <w:noProof/>
          <w:sz w:val="22"/>
        </w:rPr>
      </w:pPr>
      <w:hyperlink w:anchor="_Toc256000182"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_Toc256000182 \h </w:instrText>
        </w:r>
        <w:r>
          <w:fldChar w:fldCharType="separate"/>
        </w:r>
        <w:r>
          <w:t>840</w:t>
        </w:r>
        <w:r>
          <w:fldChar w:fldCharType="end"/>
        </w:r>
      </w:hyperlink>
    </w:p>
    <w:p>
      <w:pPr>
        <w:pStyle w:val="TOC2"/>
        <w:rPr>
          <w:rFonts w:asciiTheme="minorHAnsi" w:hAnsiTheme="minorHAnsi"/>
          <w:noProof/>
          <w:sz w:val="22"/>
        </w:rPr>
      </w:pPr>
      <w:hyperlink w:anchor="_Toc256000183"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_Toc256000183 \h </w:instrText>
        </w:r>
        <w:r>
          <w:fldChar w:fldCharType="separate"/>
        </w:r>
        <w:r>
          <w:t>840</w:t>
        </w:r>
        <w:r>
          <w:fldChar w:fldCharType="end"/>
        </w:r>
      </w:hyperlink>
    </w:p>
    <w:p>
      <w:pPr>
        <w:pStyle w:val="TOC2"/>
        <w:rPr>
          <w:rFonts w:asciiTheme="minorHAnsi" w:hAnsiTheme="minorHAnsi"/>
          <w:noProof/>
          <w:sz w:val="22"/>
        </w:rPr>
      </w:pPr>
      <w:hyperlink w:anchor="_Toc256000184"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_Toc256000184 \h </w:instrText>
        </w:r>
        <w:r>
          <w:fldChar w:fldCharType="separate"/>
        </w:r>
        <w:r>
          <w:t>840</w:t>
        </w:r>
        <w:r>
          <w:fldChar w:fldCharType="end"/>
        </w:r>
      </w:hyperlink>
    </w:p>
    <w:p>
      <w:pPr>
        <w:pStyle w:val="TOC2"/>
        <w:rPr>
          <w:rFonts w:asciiTheme="minorHAnsi" w:hAnsiTheme="minorHAnsi"/>
          <w:noProof/>
          <w:sz w:val="22"/>
        </w:rPr>
      </w:pPr>
      <w:hyperlink w:anchor="_Toc256000185"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_Toc256000185 \h </w:instrText>
        </w:r>
        <w:r>
          <w:fldChar w:fldCharType="separate"/>
        </w:r>
        <w:r>
          <w:t>840</w:t>
        </w:r>
        <w:r>
          <w:fldChar w:fldCharType="end"/>
        </w:r>
      </w:hyperlink>
    </w:p>
    <w:p>
      <w:pPr>
        <w:pStyle w:val="TOC2"/>
        <w:rPr>
          <w:rFonts w:asciiTheme="minorHAnsi" w:hAnsiTheme="minorHAnsi"/>
          <w:noProof/>
          <w:sz w:val="22"/>
        </w:rPr>
      </w:pPr>
      <w:hyperlink w:anchor="_Toc256000186"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_Toc256000186 \h </w:instrText>
        </w:r>
        <w:r>
          <w:fldChar w:fldCharType="separate"/>
        </w:r>
        <w:r>
          <w:t>841</w:t>
        </w:r>
        <w:r>
          <w:fldChar w:fldCharType="end"/>
        </w:r>
      </w:hyperlink>
    </w:p>
    <w:p>
      <w:pPr>
        <w:pStyle w:val="TOC2"/>
        <w:rPr>
          <w:rFonts w:asciiTheme="minorHAnsi" w:hAnsiTheme="minorHAnsi"/>
          <w:noProof/>
          <w:sz w:val="22"/>
        </w:rPr>
      </w:pPr>
      <w:hyperlink w:anchor="_Toc256000187"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_Toc256000187 \h </w:instrText>
        </w:r>
        <w:r>
          <w:fldChar w:fldCharType="separate"/>
        </w:r>
        <w:r>
          <w:t>841</w:t>
        </w:r>
        <w:r>
          <w:fldChar w:fldCharType="end"/>
        </w:r>
      </w:hyperlink>
    </w:p>
    <w:p>
      <w:pPr>
        <w:pStyle w:val="TOC2"/>
        <w:rPr>
          <w:rFonts w:asciiTheme="minorHAnsi" w:hAnsiTheme="minorHAnsi"/>
          <w:noProof/>
          <w:sz w:val="22"/>
        </w:rPr>
      </w:pPr>
      <w:hyperlink w:anchor="_Toc256000188"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_Toc256000188 \h </w:instrText>
        </w:r>
        <w:r>
          <w:fldChar w:fldCharType="separate"/>
        </w:r>
        <w:r>
          <w:t>841</w:t>
        </w:r>
        <w:r>
          <w:fldChar w:fldCharType="end"/>
        </w:r>
      </w:hyperlink>
    </w:p>
    <w:p>
      <w:pPr>
        <w:pStyle w:val="TOC2"/>
        <w:rPr>
          <w:rFonts w:asciiTheme="minorHAnsi" w:hAnsiTheme="minorHAnsi"/>
          <w:noProof/>
          <w:sz w:val="22"/>
        </w:rPr>
      </w:pPr>
      <w:hyperlink w:anchor="_Toc256000189"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_Toc256000189 \h </w:instrText>
        </w:r>
        <w:r>
          <w:fldChar w:fldCharType="separate"/>
        </w:r>
        <w:r>
          <w:t>841</w:t>
        </w:r>
        <w:r>
          <w:fldChar w:fldCharType="end"/>
        </w:r>
      </w:hyperlink>
    </w:p>
    <w:p>
      <w:pPr>
        <w:pStyle w:val="TOC2"/>
        <w:rPr>
          <w:rFonts w:asciiTheme="minorHAnsi" w:hAnsiTheme="minorHAnsi"/>
          <w:noProof/>
          <w:sz w:val="22"/>
        </w:rPr>
      </w:pPr>
      <w:hyperlink w:anchor="_Toc256000190"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_Toc256000190 \h </w:instrText>
        </w:r>
        <w:r>
          <w:fldChar w:fldCharType="separate"/>
        </w:r>
        <w:r>
          <w:t>841</w:t>
        </w:r>
        <w:r>
          <w:fldChar w:fldCharType="end"/>
        </w:r>
      </w:hyperlink>
    </w:p>
    <w:p>
      <w:pPr>
        <w:pStyle w:val="TOC2"/>
        <w:rPr>
          <w:rFonts w:asciiTheme="minorHAnsi" w:hAnsiTheme="minorHAnsi"/>
          <w:noProof/>
          <w:sz w:val="22"/>
        </w:rPr>
      </w:pPr>
      <w:hyperlink w:anchor="_Toc256000191"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_Toc256000191 \h </w:instrText>
        </w:r>
        <w:r>
          <w:fldChar w:fldCharType="separate"/>
        </w:r>
        <w:r>
          <w:t>842</w:t>
        </w:r>
        <w:r>
          <w:fldChar w:fldCharType="end"/>
        </w:r>
      </w:hyperlink>
    </w:p>
    <w:p>
      <w:pPr>
        <w:pStyle w:val="TOC2"/>
        <w:rPr>
          <w:rFonts w:asciiTheme="minorHAnsi" w:hAnsiTheme="minorHAnsi"/>
          <w:noProof/>
          <w:sz w:val="22"/>
        </w:rPr>
      </w:pPr>
      <w:hyperlink w:anchor="_Toc256000192"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_Toc256000192 \h </w:instrText>
        </w:r>
        <w:r>
          <w:fldChar w:fldCharType="separate"/>
        </w:r>
        <w:r>
          <w:t>842</w:t>
        </w:r>
        <w:r>
          <w:fldChar w:fldCharType="end"/>
        </w:r>
      </w:hyperlink>
    </w:p>
    <w:p>
      <w:pPr>
        <w:pStyle w:val="TOC2"/>
        <w:rPr>
          <w:rFonts w:asciiTheme="minorHAnsi" w:hAnsiTheme="minorHAnsi"/>
          <w:noProof/>
          <w:sz w:val="22"/>
        </w:rPr>
      </w:pPr>
      <w:hyperlink w:anchor="_Toc256000193"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_Toc256000193 \h </w:instrText>
        </w:r>
        <w:r>
          <w:fldChar w:fldCharType="separate"/>
        </w:r>
        <w:r>
          <w:t>842</w:t>
        </w:r>
        <w:r>
          <w:fldChar w:fldCharType="end"/>
        </w:r>
      </w:hyperlink>
    </w:p>
    <w:p>
      <w:pPr>
        <w:pStyle w:val="TOC2"/>
        <w:rPr>
          <w:rFonts w:asciiTheme="minorHAnsi" w:hAnsiTheme="minorHAnsi"/>
          <w:noProof/>
          <w:sz w:val="22"/>
        </w:rPr>
      </w:pPr>
      <w:hyperlink w:anchor="_Toc256000194"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_Toc256000194 \h </w:instrText>
        </w:r>
        <w:r>
          <w:fldChar w:fldCharType="separate"/>
        </w:r>
        <w:r>
          <w:t>842</w:t>
        </w:r>
        <w:r>
          <w:fldChar w:fldCharType="end"/>
        </w:r>
      </w:hyperlink>
    </w:p>
    <w:p>
      <w:pPr>
        <w:pStyle w:val="TOC2"/>
        <w:rPr>
          <w:rFonts w:asciiTheme="minorHAnsi" w:hAnsiTheme="minorHAnsi"/>
          <w:noProof/>
          <w:sz w:val="22"/>
        </w:rPr>
      </w:pPr>
      <w:hyperlink w:anchor="_Toc256000195"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_Toc256000195 \h </w:instrText>
        </w:r>
        <w:r>
          <w:fldChar w:fldCharType="separate"/>
        </w:r>
        <w:r>
          <w:t>843</w:t>
        </w:r>
        <w:r>
          <w:fldChar w:fldCharType="end"/>
        </w:r>
      </w:hyperlink>
    </w:p>
    <w:p>
      <w:pPr>
        <w:pStyle w:val="TOC2"/>
        <w:rPr>
          <w:rFonts w:asciiTheme="minorHAnsi" w:hAnsiTheme="minorHAnsi"/>
          <w:noProof/>
          <w:sz w:val="22"/>
        </w:rPr>
      </w:pPr>
      <w:hyperlink w:anchor="_Toc256000196"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_Toc256000196 \h </w:instrText>
        </w:r>
        <w:r>
          <w:fldChar w:fldCharType="separate"/>
        </w:r>
        <w:r>
          <w:t>843</w:t>
        </w:r>
        <w:r>
          <w:fldChar w:fldCharType="end"/>
        </w:r>
      </w:hyperlink>
    </w:p>
    <w:p>
      <w:pPr>
        <w:pStyle w:val="TOC2"/>
        <w:rPr>
          <w:rFonts w:asciiTheme="minorHAnsi" w:hAnsiTheme="minorHAnsi"/>
          <w:noProof/>
          <w:sz w:val="22"/>
        </w:rPr>
      </w:pPr>
      <w:hyperlink w:anchor="_Toc256000197" w:history="1">
        <w:r>
          <w:rPr>
            <w:rStyle w:val="Hyperlink"/>
          </w:rPr>
          <w:t>12.17.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_Toc256000197 \h </w:instrText>
        </w:r>
        <w:r>
          <w:fldChar w:fldCharType="separate"/>
        </w:r>
        <w:r>
          <w:t>843</w:t>
        </w:r>
        <w:r>
          <w:fldChar w:fldCharType="end"/>
        </w:r>
      </w:hyperlink>
    </w:p>
    <w:p>
      <w:pPr>
        <w:pStyle w:val="TOC2"/>
        <w:rPr>
          <w:rFonts w:asciiTheme="minorHAnsi" w:hAnsiTheme="minorHAnsi"/>
          <w:noProof/>
          <w:sz w:val="22"/>
        </w:rPr>
      </w:pPr>
      <w:hyperlink w:anchor="_Toc256000198" w:history="1">
        <w:r>
          <w:rPr>
            <w:rStyle w:val="Hyperlink"/>
          </w:rPr>
          <w:t>12.18.</w:t>
        </w:r>
        <w:r>
          <w:rPr>
            <w:rStyle w:val="Hyperlink"/>
          </w:rPr>
          <w:t xml:space="preserve"> </w:t>
        </w:r>
        <w:r>
          <w:rPr>
            <w:rStyle w:val="Hyperlink"/>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r>
          <w:tab/>
        </w:r>
        <w:r>
          <w:fldChar w:fldCharType="begin"/>
        </w:r>
        <w:r>
          <w:instrText xml:space="preserve"> PAGEREF _Toc256000198 \h </w:instrText>
        </w:r>
        <w:r>
          <w:fldChar w:fldCharType="separate"/>
        </w:r>
        <w:r>
          <w:t>843</w:t>
        </w:r>
        <w:r>
          <w:fldChar w:fldCharType="end"/>
        </w:r>
      </w:hyperlink>
    </w:p>
    <w:p>
      <w:pPr>
        <w:pStyle w:val="TOC1"/>
        <w:rPr>
          <w:rFonts w:asciiTheme="minorHAnsi" w:hAnsiTheme="minorHAnsi"/>
          <w:noProof/>
          <w:sz w:val="22"/>
        </w:rPr>
      </w:pPr>
      <w:hyperlink w:anchor="_Toc256000199"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_Toc256000199 \h </w:instrText>
        </w:r>
        <w:r>
          <w:fldChar w:fldCharType="separate"/>
        </w:r>
        <w:r>
          <w:t>844</w:t>
        </w:r>
        <w:r>
          <w:fldChar w:fldCharType="end"/>
        </w:r>
      </w:hyperlink>
    </w:p>
    <w:p>
      <w:pPr>
        <w:pStyle w:val="TOC2"/>
        <w:rPr>
          <w:rFonts w:asciiTheme="minorHAnsi" w:hAnsiTheme="minorHAnsi"/>
          <w:noProof/>
          <w:sz w:val="22"/>
        </w:rPr>
      </w:pPr>
      <w:hyperlink w:anchor="_Toc256000200"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_Toc256000200 \h </w:instrText>
        </w:r>
        <w:r>
          <w:fldChar w:fldCharType="separate"/>
        </w:r>
        <w:r>
          <w:t>847</w:t>
        </w:r>
        <w:r>
          <w:fldChar w:fldCharType="end"/>
        </w:r>
      </w:hyperlink>
    </w:p>
    <w:p>
      <w:pPr>
        <w:pStyle w:val="TOC2"/>
        <w:rPr>
          <w:rFonts w:asciiTheme="minorHAnsi" w:hAnsiTheme="minorHAnsi"/>
          <w:noProof/>
          <w:sz w:val="22"/>
        </w:rPr>
      </w:pPr>
      <w:hyperlink w:anchor="_Toc256000201"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_Toc256000201 \h </w:instrText>
        </w:r>
        <w:r>
          <w:fldChar w:fldCharType="separate"/>
        </w:r>
        <w:r>
          <w:t>847</w:t>
        </w:r>
        <w:r>
          <w:fldChar w:fldCharType="end"/>
        </w:r>
      </w:hyperlink>
    </w:p>
    <w:p>
      <w:pPr>
        <w:pStyle w:val="TOC2"/>
        <w:rPr>
          <w:rFonts w:asciiTheme="minorHAnsi" w:hAnsiTheme="minorHAnsi"/>
          <w:noProof/>
          <w:sz w:val="22"/>
        </w:rPr>
      </w:pPr>
      <w:hyperlink w:anchor="_Toc256000202"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_Toc256000202 \h </w:instrText>
        </w:r>
        <w:r>
          <w:fldChar w:fldCharType="separate"/>
        </w:r>
        <w:r>
          <w:t>848</w:t>
        </w:r>
        <w:r>
          <w:fldChar w:fldCharType="end"/>
        </w:r>
      </w:hyperlink>
    </w:p>
    <w:p>
      <w:pPr>
        <w:pStyle w:val="TOC2"/>
        <w:rPr>
          <w:rFonts w:asciiTheme="minorHAnsi" w:hAnsiTheme="minorHAnsi"/>
          <w:noProof/>
          <w:sz w:val="22"/>
        </w:rPr>
      </w:pPr>
      <w:hyperlink w:anchor="_Toc256000203"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_Toc256000203 \h </w:instrText>
        </w:r>
        <w:r>
          <w:fldChar w:fldCharType="separate"/>
        </w:r>
        <w:r>
          <w:t>848</w:t>
        </w:r>
        <w:r>
          <w:fldChar w:fldCharType="end"/>
        </w:r>
      </w:hyperlink>
    </w:p>
    <w:p>
      <w:pPr>
        <w:pStyle w:val="TOC2"/>
        <w:rPr>
          <w:rFonts w:asciiTheme="minorHAnsi" w:hAnsiTheme="minorHAnsi"/>
          <w:noProof/>
          <w:sz w:val="22"/>
        </w:rPr>
      </w:pPr>
      <w:hyperlink w:anchor="_Toc256000204"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_Toc256000204 \h </w:instrText>
        </w:r>
        <w:r>
          <w:fldChar w:fldCharType="separate"/>
        </w:r>
        <w:r>
          <w:t>849</w:t>
        </w:r>
        <w:r>
          <w:fldChar w:fldCharType="end"/>
        </w:r>
      </w:hyperlink>
    </w:p>
    <w:p>
      <w:pPr>
        <w:pStyle w:val="TOC2"/>
        <w:rPr>
          <w:rFonts w:asciiTheme="minorHAnsi" w:hAnsiTheme="minorHAnsi"/>
          <w:noProof/>
          <w:sz w:val="22"/>
        </w:rPr>
      </w:pPr>
      <w:hyperlink w:anchor="_Toc256000205"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_Toc256000205 \h </w:instrText>
        </w:r>
        <w:r>
          <w:fldChar w:fldCharType="separate"/>
        </w:r>
        <w:r>
          <w:t>849</w:t>
        </w:r>
        <w:r>
          <w:fldChar w:fldCharType="end"/>
        </w:r>
      </w:hyperlink>
    </w:p>
    <w:p>
      <w:pPr>
        <w:pStyle w:val="TOC2"/>
        <w:rPr>
          <w:rFonts w:asciiTheme="minorHAnsi" w:hAnsiTheme="minorHAnsi"/>
          <w:noProof/>
          <w:sz w:val="22"/>
        </w:rPr>
      </w:pPr>
      <w:hyperlink w:anchor="_Toc256000206"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_Toc256000206 \h </w:instrText>
        </w:r>
        <w:r>
          <w:fldChar w:fldCharType="separate"/>
        </w:r>
        <w:r>
          <w:t>850</w:t>
        </w:r>
        <w:r>
          <w:fldChar w:fldCharType="end"/>
        </w:r>
      </w:hyperlink>
    </w:p>
    <w:p>
      <w:pPr>
        <w:pStyle w:val="TOC2"/>
        <w:rPr>
          <w:rFonts w:asciiTheme="minorHAnsi" w:hAnsiTheme="minorHAnsi"/>
          <w:noProof/>
          <w:sz w:val="22"/>
        </w:rPr>
      </w:pPr>
      <w:hyperlink w:anchor="_Toc256000207"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_Toc256000207 \h </w:instrText>
        </w:r>
        <w:r>
          <w:fldChar w:fldCharType="separate"/>
        </w:r>
        <w:r>
          <w:t>850</w:t>
        </w:r>
        <w:r>
          <w:fldChar w:fldCharType="end"/>
        </w:r>
      </w:hyperlink>
    </w:p>
    <w:p>
      <w:pPr>
        <w:pStyle w:val="TOC2"/>
        <w:rPr>
          <w:rFonts w:asciiTheme="minorHAnsi" w:hAnsiTheme="minorHAnsi"/>
          <w:noProof/>
          <w:sz w:val="22"/>
        </w:rPr>
      </w:pPr>
      <w:hyperlink w:anchor="_Toc256000208"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_Toc256000208 \h </w:instrText>
        </w:r>
        <w:r>
          <w:fldChar w:fldCharType="separate"/>
        </w:r>
        <w:r>
          <w:t>851</w:t>
        </w:r>
        <w:r>
          <w:fldChar w:fldCharType="end"/>
        </w:r>
      </w:hyperlink>
    </w:p>
    <w:p>
      <w:pPr>
        <w:pStyle w:val="TOC2"/>
        <w:rPr>
          <w:rFonts w:asciiTheme="minorHAnsi" w:hAnsiTheme="minorHAnsi"/>
          <w:noProof/>
          <w:sz w:val="22"/>
        </w:rPr>
      </w:pPr>
      <w:hyperlink w:anchor="_Toc256000209"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851</w:t>
        </w:r>
        <w:r>
          <w:fldChar w:fldCharType="end"/>
        </w:r>
      </w:hyperlink>
    </w:p>
    <w:p>
      <w:pPr>
        <w:pStyle w:val="TOC2"/>
        <w:rPr>
          <w:rFonts w:asciiTheme="minorHAnsi" w:hAnsiTheme="minorHAnsi"/>
          <w:noProof/>
          <w:sz w:val="22"/>
        </w:rPr>
      </w:pPr>
      <w:hyperlink w:anchor="_Toc256000210"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_Toc256000210 \h </w:instrText>
        </w:r>
        <w:r>
          <w:fldChar w:fldCharType="separate"/>
        </w:r>
        <w:r>
          <w:t>852</w:t>
        </w:r>
        <w:r>
          <w:fldChar w:fldCharType="end"/>
        </w:r>
      </w:hyperlink>
    </w:p>
    <w:p>
      <w:pPr>
        <w:pStyle w:val="TOC2"/>
        <w:rPr>
          <w:rFonts w:asciiTheme="minorHAnsi" w:hAnsiTheme="minorHAnsi"/>
          <w:noProof/>
          <w:sz w:val="22"/>
        </w:rPr>
      </w:pPr>
      <w:hyperlink w:anchor="_Toc256000211"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_Toc256000211 \h </w:instrText>
        </w:r>
        <w:r>
          <w:fldChar w:fldCharType="separate"/>
        </w:r>
        <w:r>
          <w:t>852</w:t>
        </w:r>
        <w:r>
          <w:fldChar w:fldCharType="end"/>
        </w:r>
      </w:hyperlink>
    </w:p>
    <w:p>
      <w:pPr>
        <w:pStyle w:val="TOC2"/>
        <w:rPr>
          <w:rFonts w:asciiTheme="minorHAnsi" w:hAnsiTheme="minorHAnsi"/>
          <w:noProof/>
          <w:sz w:val="22"/>
        </w:rPr>
      </w:pPr>
      <w:hyperlink w:anchor="_Toc256000212"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_Toc256000212 \h </w:instrText>
        </w:r>
        <w:r>
          <w:fldChar w:fldCharType="separate"/>
        </w:r>
        <w:r>
          <w:t>853</w:t>
        </w:r>
        <w:r>
          <w:fldChar w:fldCharType="end"/>
        </w:r>
      </w:hyperlink>
    </w:p>
    <w:p>
      <w:pPr>
        <w:pStyle w:val="TOC2"/>
        <w:rPr>
          <w:rFonts w:asciiTheme="minorHAnsi" w:hAnsiTheme="minorHAnsi"/>
          <w:noProof/>
          <w:sz w:val="22"/>
        </w:rPr>
      </w:pPr>
      <w:hyperlink w:anchor="_Toc256000213"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_Toc256000213 \h </w:instrText>
        </w:r>
        <w:r>
          <w:fldChar w:fldCharType="separate"/>
        </w:r>
        <w:r>
          <w:t>853</w:t>
        </w:r>
        <w:r>
          <w:fldChar w:fldCharType="end"/>
        </w:r>
      </w:hyperlink>
    </w:p>
    <w:p>
      <w:pPr>
        <w:pStyle w:val="TOC2"/>
        <w:rPr>
          <w:rFonts w:asciiTheme="minorHAnsi" w:hAnsiTheme="minorHAnsi"/>
          <w:noProof/>
          <w:sz w:val="22"/>
        </w:rPr>
      </w:pPr>
      <w:hyperlink w:anchor="_Toc256000214"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_Toc256000214 \h </w:instrText>
        </w:r>
        <w:r>
          <w:fldChar w:fldCharType="separate"/>
        </w:r>
        <w:r>
          <w:t>854</w:t>
        </w:r>
        <w:r>
          <w:fldChar w:fldCharType="end"/>
        </w:r>
      </w:hyperlink>
    </w:p>
    <w:p>
      <w:pPr>
        <w:pStyle w:val="TOC2"/>
        <w:rPr>
          <w:rFonts w:asciiTheme="minorHAnsi" w:hAnsiTheme="minorHAnsi"/>
          <w:noProof/>
          <w:sz w:val="22"/>
        </w:rPr>
      </w:pPr>
      <w:hyperlink w:anchor="_Toc256000215"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_Toc256000215 \h </w:instrText>
        </w:r>
        <w:r>
          <w:fldChar w:fldCharType="separate"/>
        </w:r>
        <w:r>
          <w:t>854</w:t>
        </w:r>
        <w:r>
          <w:fldChar w:fldCharType="end"/>
        </w:r>
      </w:hyperlink>
    </w:p>
    <w:p>
      <w:pPr>
        <w:pStyle w:val="TOC2"/>
        <w:rPr>
          <w:rFonts w:asciiTheme="minorHAnsi" w:hAnsiTheme="minorHAnsi"/>
          <w:noProof/>
          <w:sz w:val="22"/>
        </w:rPr>
      </w:pPr>
      <w:hyperlink w:anchor="_Toc256000216"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_Toc256000216 \h </w:instrText>
        </w:r>
        <w:r>
          <w:fldChar w:fldCharType="separate"/>
        </w:r>
        <w:r>
          <w:t>855</w:t>
        </w:r>
        <w:r>
          <w:fldChar w:fldCharType="end"/>
        </w:r>
      </w:hyperlink>
    </w:p>
    <w:p>
      <w:pPr>
        <w:pStyle w:val="TOC2"/>
        <w:rPr>
          <w:rFonts w:asciiTheme="minorHAnsi" w:hAnsiTheme="minorHAnsi"/>
          <w:noProof/>
          <w:sz w:val="22"/>
        </w:rPr>
      </w:pPr>
      <w:hyperlink w:anchor="_Toc256000217"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_Toc256000217 \h </w:instrText>
        </w:r>
        <w:r>
          <w:fldChar w:fldCharType="separate"/>
        </w:r>
        <w:r>
          <w:t>855</w:t>
        </w:r>
        <w:r>
          <w:fldChar w:fldCharType="end"/>
        </w:r>
      </w:hyperlink>
    </w:p>
    <w:p>
      <w:pPr>
        <w:pStyle w:val="TOC2"/>
        <w:rPr>
          <w:rFonts w:asciiTheme="minorHAnsi" w:hAnsiTheme="minorHAnsi"/>
          <w:noProof/>
          <w:sz w:val="22"/>
        </w:rPr>
      </w:pPr>
      <w:hyperlink w:anchor="_Toc256000218"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_Toc256000218 \h </w:instrText>
        </w:r>
        <w:r>
          <w:fldChar w:fldCharType="separate"/>
        </w:r>
        <w:r>
          <w:t>855</w:t>
        </w:r>
        <w:r>
          <w:fldChar w:fldCharType="end"/>
        </w:r>
      </w:hyperlink>
    </w:p>
    <w:p>
      <w:pPr>
        <w:pStyle w:val="TOC2"/>
        <w:rPr>
          <w:rFonts w:asciiTheme="minorHAnsi" w:hAnsiTheme="minorHAnsi"/>
          <w:noProof/>
          <w:sz w:val="22"/>
        </w:rPr>
      </w:pPr>
      <w:hyperlink w:anchor="_Toc256000219"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_Toc256000219 \h </w:instrText>
        </w:r>
        <w:r>
          <w:fldChar w:fldCharType="separate"/>
        </w:r>
        <w:r>
          <w:t>856</w:t>
        </w:r>
        <w:r>
          <w:fldChar w:fldCharType="end"/>
        </w:r>
      </w:hyperlink>
    </w:p>
    <w:p>
      <w:pPr>
        <w:pStyle w:val="TOC2"/>
        <w:rPr>
          <w:rFonts w:asciiTheme="minorHAnsi" w:hAnsiTheme="minorHAnsi"/>
          <w:noProof/>
          <w:sz w:val="22"/>
        </w:rPr>
      </w:pPr>
      <w:hyperlink w:anchor="_Toc256000220"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_Toc256000220 \h </w:instrText>
        </w:r>
        <w:r>
          <w:fldChar w:fldCharType="separate"/>
        </w:r>
        <w:r>
          <w:t>856</w:t>
        </w:r>
        <w:r>
          <w:fldChar w:fldCharType="end"/>
        </w:r>
      </w:hyperlink>
    </w:p>
    <w:p>
      <w:pPr>
        <w:pStyle w:val="TOC2"/>
        <w:rPr>
          <w:rFonts w:asciiTheme="minorHAnsi" w:hAnsiTheme="minorHAnsi"/>
          <w:noProof/>
          <w:sz w:val="22"/>
        </w:rPr>
      </w:pPr>
      <w:hyperlink w:anchor="_Toc256000221"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_Toc256000221 \h </w:instrText>
        </w:r>
        <w:r>
          <w:fldChar w:fldCharType="separate"/>
        </w:r>
        <w:r>
          <w:t>857</w:t>
        </w:r>
        <w:r>
          <w:fldChar w:fldCharType="end"/>
        </w:r>
      </w:hyperlink>
    </w:p>
    <w:p>
      <w:pPr>
        <w:pStyle w:val="TOC2"/>
        <w:rPr>
          <w:rFonts w:asciiTheme="minorHAnsi" w:hAnsiTheme="minorHAnsi"/>
          <w:noProof/>
          <w:sz w:val="22"/>
        </w:rPr>
      </w:pPr>
      <w:hyperlink w:anchor="_Toc256000222" w:history="1">
        <w:r>
          <w:rPr>
            <w:rStyle w:val="Hyperlink"/>
          </w:rPr>
          <w:t>13.23.</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_Toc256000222 \h </w:instrText>
        </w:r>
        <w:r>
          <w:fldChar w:fldCharType="separate"/>
        </w:r>
        <w:r>
          <w:t>857</w:t>
        </w:r>
        <w:r>
          <w:fldChar w:fldCharType="end"/>
        </w:r>
      </w:hyperlink>
    </w:p>
    <w:p>
      <w:pPr>
        <w:pStyle w:val="TOC2"/>
        <w:rPr>
          <w:rFonts w:asciiTheme="minorHAnsi" w:hAnsiTheme="minorHAnsi"/>
          <w:noProof/>
          <w:sz w:val="22"/>
        </w:rPr>
      </w:pPr>
      <w:hyperlink w:anchor="_Toc256000223" w:history="1">
        <w:r>
          <w:rPr>
            <w:rStyle w:val="Hyperlink"/>
          </w:rPr>
          <w:t>13.24.</w:t>
        </w:r>
        <w:r>
          <w:rPr>
            <w:rStyle w:val="Hyperlink"/>
          </w:rPr>
          <w:t xml:space="preserve"> </w:t>
        </w:r>
        <w:r>
          <w:rPr>
            <w:rStyle w:val="Hyperlink"/>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r>
          <w:tab/>
        </w:r>
        <w:r>
          <w:fldChar w:fldCharType="begin"/>
        </w:r>
        <w:r>
          <w:instrText xml:space="preserve"> PAGEREF _Toc256000223 \h </w:instrText>
        </w:r>
        <w:r>
          <w:fldChar w:fldCharType="separate"/>
        </w:r>
        <w:r>
          <w:t>858</w:t>
        </w:r>
        <w:r>
          <w:fldChar w:fldCharType="end"/>
        </w:r>
      </w:hyperlink>
    </w:p>
    <w:p>
      <w:pPr>
        <w:pStyle w:val="TOC1"/>
        <w:rPr>
          <w:rFonts w:asciiTheme="minorHAnsi" w:hAnsiTheme="minorHAnsi"/>
          <w:noProof/>
          <w:sz w:val="22"/>
        </w:rPr>
      </w:pPr>
      <w:hyperlink w:anchor="_Toc256000224"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_Toc256000224 \h </w:instrText>
        </w:r>
        <w:r>
          <w:fldChar w:fldCharType="separate"/>
        </w:r>
        <w:r>
          <w:t>859</w:t>
        </w:r>
        <w:r>
          <w:fldChar w:fldCharType="end"/>
        </w:r>
      </w:hyperlink>
    </w:p>
    <w:p>
      <w:pPr>
        <w:pStyle w:val="TOC2"/>
        <w:rPr>
          <w:rFonts w:asciiTheme="minorHAnsi" w:hAnsiTheme="minorHAnsi"/>
          <w:noProof/>
          <w:sz w:val="22"/>
        </w:rPr>
      </w:pPr>
      <w:hyperlink w:anchor="_Toc256000225"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_Toc256000225 \h </w:instrText>
        </w:r>
        <w:r>
          <w:fldChar w:fldCharType="separate"/>
        </w:r>
        <w:r>
          <w:t>859</w:t>
        </w:r>
        <w:r>
          <w:fldChar w:fldCharType="end"/>
        </w:r>
      </w:hyperlink>
    </w:p>
    <w:p>
      <w:pPr>
        <w:pStyle w:val="TOC3"/>
        <w:rPr>
          <w:rFonts w:asciiTheme="minorHAnsi" w:hAnsiTheme="minorHAnsi"/>
          <w:noProof/>
          <w:sz w:val="22"/>
        </w:rPr>
      </w:pPr>
      <w:hyperlink w:anchor="_Toc256000226"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_Toc256000226 \h </w:instrText>
        </w:r>
        <w:r>
          <w:fldChar w:fldCharType="separate"/>
        </w:r>
        <w:r>
          <w:t>859</w:t>
        </w:r>
        <w:r>
          <w:fldChar w:fldCharType="end"/>
        </w:r>
      </w:hyperlink>
    </w:p>
    <w:p>
      <w:pPr>
        <w:pStyle w:val="TOC3"/>
        <w:rPr>
          <w:rFonts w:asciiTheme="minorHAnsi" w:hAnsiTheme="minorHAnsi"/>
          <w:noProof/>
          <w:sz w:val="22"/>
        </w:rPr>
      </w:pPr>
      <w:hyperlink w:anchor="_Toc256000227"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_Toc256000227 \h </w:instrText>
        </w:r>
        <w:r>
          <w:fldChar w:fldCharType="separate"/>
        </w:r>
        <w:r>
          <w:t>867</w:t>
        </w:r>
        <w:r>
          <w:fldChar w:fldCharType="end"/>
        </w:r>
      </w:hyperlink>
    </w:p>
    <w:p>
      <w:pPr>
        <w:pStyle w:val="TOC2"/>
        <w:rPr>
          <w:rFonts w:asciiTheme="minorHAnsi" w:hAnsiTheme="minorHAnsi"/>
          <w:noProof/>
          <w:sz w:val="22"/>
        </w:rPr>
      </w:pPr>
      <w:hyperlink w:anchor="_Toc256000228"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_Toc256000228 \h </w:instrText>
        </w:r>
        <w:r>
          <w:fldChar w:fldCharType="separate"/>
        </w:r>
        <w:r>
          <w:t>867</w:t>
        </w:r>
        <w:r>
          <w:fldChar w:fldCharType="end"/>
        </w:r>
      </w:hyperlink>
    </w:p>
    <w:p>
      <w:pPr>
        <w:pStyle w:val="TOC1"/>
        <w:rPr>
          <w:rFonts w:asciiTheme="minorHAnsi" w:hAnsiTheme="minorHAnsi"/>
          <w:noProof/>
          <w:sz w:val="22"/>
        </w:rPr>
      </w:pPr>
      <w:hyperlink w:anchor="_Toc256000229"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_Toc256000229 \h </w:instrText>
        </w:r>
        <w:r>
          <w:fldChar w:fldCharType="separate"/>
        </w:r>
        <w:r>
          <w:t>870</w:t>
        </w:r>
        <w:r>
          <w:fldChar w:fldCharType="end"/>
        </w:r>
      </w:hyperlink>
    </w:p>
    <w:p>
      <w:pPr>
        <w:pStyle w:val="TOC2"/>
        <w:rPr>
          <w:rFonts w:asciiTheme="minorHAnsi" w:hAnsiTheme="minorHAnsi"/>
          <w:noProof/>
          <w:sz w:val="22"/>
        </w:rPr>
      </w:pPr>
      <w:hyperlink w:anchor="_Toc256000230"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_Toc256000230 \h </w:instrText>
        </w:r>
        <w:r>
          <w:fldChar w:fldCharType="separate"/>
        </w:r>
        <w:r>
          <w:t>870</w:t>
        </w:r>
        <w:r>
          <w:fldChar w:fldCharType="end"/>
        </w:r>
      </w:hyperlink>
    </w:p>
    <w:p>
      <w:pPr>
        <w:pStyle w:val="TOC3"/>
        <w:rPr>
          <w:rFonts w:asciiTheme="minorHAnsi" w:hAnsiTheme="minorHAnsi"/>
          <w:noProof/>
          <w:sz w:val="22"/>
        </w:rPr>
      </w:pPr>
      <w:hyperlink w:anchor="_Toc256000231" w:history="1">
        <w:r>
          <w:rPr>
            <w:rStyle w:val="Hyperlink"/>
          </w:rPr>
          <w:t>15.1.1.</w:t>
        </w:r>
        <w:r>
          <w:rPr>
            <w:rStyle w:val="Hyperlink"/>
          </w:rPr>
          <w:t xml:space="preserve"> </w:t>
        </w:r>
        <w:r>
          <w:rPr>
            <w:rStyle w:val="Hyperlink"/>
          </w:rPr>
          <w:t>Органи</w:t>
        </w:r>
        <w:r>
          <w:tab/>
        </w:r>
        <w:r>
          <w:fldChar w:fldCharType="begin"/>
        </w:r>
        <w:r>
          <w:instrText xml:space="preserve"> PAGEREF _Toc256000231 \h </w:instrText>
        </w:r>
        <w:r>
          <w:fldChar w:fldCharType="separate"/>
        </w:r>
        <w:r>
          <w:t>870</w:t>
        </w:r>
        <w:r>
          <w:fldChar w:fldCharType="end"/>
        </w:r>
      </w:hyperlink>
    </w:p>
    <w:p>
      <w:pPr>
        <w:pStyle w:val="TOC3"/>
        <w:rPr>
          <w:rFonts w:asciiTheme="minorHAnsi" w:hAnsiTheme="minorHAnsi"/>
          <w:noProof/>
          <w:sz w:val="22"/>
        </w:rPr>
      </w:pPr>
      <w:hyperlink w:anchor="_Toc256000232"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_Toc256000232 \h </w:instrText>
        </w:r>
        <w:r>
          <w:fldChar w:fldCharType="separate"/>
        </w:r>
        <w:r>
          <w:t>870</w:t>
        </w:r>
        <w:r>
          <w:fldChar w:fldCharType="end"/>
        </w:r>
      </w:hyperlink>
    </w:p>
    <w:p>
      <w:pPr>
        <w:pStyle w:val="TOC2"/>
        <w:rPr>
          <w:rFonts w:asciiTheme="minorHAnsi" w:hAnsiTheme="minorHAnsi"/>
          <w:noProof/>
          <w:sz w:val="22"/>
        </w:rPr>
      </w:pPr>
      <w:hyperlink w:anchor="_Toc256000233"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_Toc256000233 \h </w:instrText>
        </w:r>
        <w:r>
          <w:fldChar w:fldCharType="separate"/>
        </w:r>
        <w:r>
          <w:t>874</w:t>
        </w:r>
        <w:r>
          <w:fldChar w:fldCharType="end"/>
        </w:r>
      </w:hyperlink>
    </w:p>
    <w:p>
      <w:pPr>
        <w:pStyle w:val="TOC2"/>
        <w:rPr>
          <w:rFonts w:asciiTheme="minorHAnsi" w:hAnsiTheme="minorHAnsi"/>
          <w:noProof/>
          <w:sz w:val="22"/>
        </w:rPr>
      </w:pPr>
      <w:hyperlink w:anchor="_Toc256000234"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_Toc256000234 \h </w:instrText>
        </w:r>
        <w:r>
          <w:fldChar w:fldCharType="separate"/>
        </w:r>
        <w:r>
          <w:t>876</w:t>
        </w:r>
        <w:r>
          <w:fldChar w:fldCharType="end"/>
        </w:r>
      </w:hyperlink>
    </w:p>
    <w:p>
      <w:pPr>
        <w:pStyle w:val="TOC2"/>
        <w:rPr>
          <w:rFonts w:asciiTheme="minorHAnsi" w:hAnsiTheme="minorHAnsi"/>
          <w:noProof/>
          <w:sz w:val="22"/>
        </w:rPr>
      </w:pPr>
      <w:hyperlink w:anchor="_Toc256000235"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_Toc256000235 \h </w:instrText>
        </w:r>
        <w:r>
          <w:fldChar w:fldCharType="separate"/>
        </w:r>
        <w:r>
          <w:t>882</w:t>
        </w:r>
        <w:r>
          <w:fldChar w:fldCharType="end"/>
        </w:r>
      </w:hyperlink>
    </w:p>
    <w:p>
      <w:pPr>
        <w:pStyle w:val="TOC2"/>
        <w:rPr>
          <w:rFonts w:asciiTheme="minorHAnsi" w:hAnsiTheme="minorHAnsi"/>
          <w:noProof/>
          <w:sz w:val="22"/>
        </w:rPr>
      </w:pPr>
      <w:hyperlink w:anchor="_Toc256000236"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_Toc256000236 \h </w:instrText>
        </w:r>
        <w:r>
          <w:fldChar w:fldCharType="separate"/>
        </w:r>
        <w:r>
          <w:t>883</w:t>
        </w:r>
        <w:r>
          <w:fldChar w:fldCharType="end"/>
        </w:r>
      </w:hyperlink>
    </w:p>
    <w:p>
      <w:pPr>
        <w:pStyle w:val="TOC2"/>
        <w:rPr>
          <w:rFonts w:asciiTheme="minorHAnsi" w:hAnsiTheme="minorHAnsi"/>
          <w:noProof/>
          <w:sz w:val="22"/>
        </w:rPr>
      </w:pPr>
      <w:hyperlink w:anchor="_Toc256000237"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_Toc256000237 \h </w:instrText>
        </w:r>
        <w:r>
          <w:fldChar w:fldCharType="separate"/>
        </w:r>
        <w:r>
          <w:t>886</w:t>
        </w:r>
        <w:r>
          <w:fldChar w:fldCharType="end"/>
        </w:r>
      </w:hyperlink>
    </w:p>
    <w:p>
      <w:pPr>
        <w:pStyle w:val="TOC1"/>
        <w:rPr>
          <w:rFonts w:asciiTheme="minorHAnsi" w:hAnsiTheme="minorHAnsi"/>
          <w:noProof/>
          <w:sz w:val="22"/>
        </w:rPr>
      </w:pPr>
      <w:hyperlink w:anchor="_Toc256000238"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_Toc256000238 \h </w:instrText>
        </w:r>
        <w:r>
          <w:fldChar w:fldCharType="separate"/>
        </w:r>
        <w:r>
          <w:t>890</w:t>
        </w:r>
        <w:r>
          <w:fldChar w:fldCharType="end"/>
        </w:r>
      </w:hyperlink>
    </w:p>
    <w:p>
      <w:pPr>
        <w:pStyle w:val="TOC2"/>
        <w:rPr>
          <w:rFonts w:asciiTheme="minorHAnsi" w:hAnsiTheme="minorHAnsi"/>
          <w:noProof/>
          <w:sz w:val="22"/>
        </w:rPr>
      </w:pPr>
      <w:hyperlink w:anchor="_Toc256000239"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_Toc256000239 \h </w:instrText>
        </w:r>
        <w:r>
          <w:fldChar w:fldCharType="separate"/>
        </w:r>
        <w:r>
          <w:t>890</w:t>
        </w:r>
        <w:r>
          <w:fldChar w:fldCharType="end"/>
        </w:r>
      </w:hyperlink>
    </w:p>
    <w:p>
      <w:pPr>
        <w:pStyle w:val="TOC3"/>
        <w:rPr>
          <w:rFonts w:asciiTheme="minorHAnsi" w:hAnsiTheme="minorHAnsi"/>
          <w:noProof/>
          <w:sz w:val="22"/>
        </w:rPr>
      </w:pPr>
      <w:hyperlink w:anchor="_Toc256000240"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_Toc256000240 \h </w:instrText>
        </w:r>
        <w:r>
          <w:fldChar w:fldCharType="separate"/>
        </w:r>
        <w:r>
          <w:t>890</w:t>
        </w:r>
        <w:r>
          <w:fldChar w:fldCharType="end"/>
        </w:r>
      </w:hyperlink>
    </w:p>
    <w:p>
      <w:pPr>
        <w:pStyle w:val="TOC3"/>
        <w:rPr>
          <w:rFonts w:asciiTheme="minorHAnsi" w:hAnsiTheme="minorHAnsi"/>
          <w:noProof/>
          <w:sz w:val="22"/>
        </w:rPr>
      </w:pPr>
      <w:hyperlink w:anchor="_Toc256000241"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_Toc256000241 \h </w:instrText>
        </w:r>
        <w:r>
          <w:fldChar w:fldCharType="separate"/>
        </w:r>
        <w:r>
          <w:t>890</w:t>
        </w:r>
        <w:r>
          <w:fldChar w:fldCharType="end"/>
        </w:r>
      </w:hyperlink>
    </w:p>
    <w:p>
      <w:pPr>
        <w:pStyle w:val="TOC2"/>
        <w:rPr>
          <w:rFonts w:asciiTheme="minorHAnsi" w:hAnsiTheme="minorHAnsi"/>
          <w:noProof/>
          <w:sz w:val="22"/>
        </w:rPr>
      </w:pPr>
      <w:hyperlink w:anchor="_Toc256000242"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_Toc256000242 \h </w:instrText>
        </w:r>
        <w:r>
          <w:fldChar w:fldCharType="separate"/>
        </w:r>
        <w:r>
          <w:t>890</w:t>
        </w:r>
        <w:r>
          <w:fldChar w:fldCharType="end"/>
        </w:r>
      </w:hyperlink>
    </w:p>
    <w:p>
      <w:pPr>
        <w:pStyle w:val="TOC3"/>
        <w:rPr>
          <w:rFonts w:asciiTheme="minorHAnsi" w:hAnsiTheme="minorHAnsi"/>
          <w:noProof/>
          <w:sz w:val="22"/>
        </w:rPr>
      </w:pPr>
      <w:hyperlink w:anchor="_Toc256000243"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_Toc256000243 \h </w:instrText>
        </w:r>
        <w:r>
          <w:fldChar w:fldCharType="separate"/>
        </w:r>
        <w:r>
          <w:t>890</w:t>
        </w:r>
        <w:r>
          <w:fldChar w:fldCharType="end"/>
        </w:r>
      </w:hyperlink>
    </w:p>
    <w:p>
      <w:pPr>
        <w:pStyle w:val="TOC3"/>
        <w:rPr>
          <w:rFonts w:asciiTheme="minorHAnsi" w:hAnsiTheme="minorHAnsi"/>
          <w:noProof/>
          <w:sz w:val="22"/>
        </w:rPr>
      </w:pPr>
      <w:hyperlink w:anchor="_Toc256000244"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_Toc256000244 \h </w:instrText>
        </w:r>
        <w:r>
          <w:fldChar w:fldCharType="separate"/>
        </w:r>
        <w:r>
          <w:t>890</w:t>
        </w:r>
        <w:r>
          <w:fldChar w:fldCharType="end"/>
        </w:r>
      </w:hyperlink>
    </w:p>
    <w:p>
      <w:pPr>
        <w:pStyle w:val="TOC2"/>
        <w:rPr>
          <w:rFonts w:asciiTheme="minorHAnsi" w:hAnsiTheme="minorHAnsi"/>
          <w:noProof/>
          <w:sz w:val="22"/>
        </w:rPr>
      </w:pPr>
      <w:hyperlink w:anchor="_Toc256000245"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_Toc256000245 \h </w:instrText>
        </w:r>
        <w:r>
          <w:fldChar w:fldCharType="separate"/>
        </w:r>
        <w:r>
          <w:t>891</w:t>
        </w:r>
        <w:r>
          <w:fldChar w:fldCharType="end"/>
        </w:r>
      </w:hyperlink>
    </w:p>
    <w:p>
      <w:pPr>
        <w:pStyle w:val="TOC3"/>
        <w:rPr>
          <w:rFonts w:asciiTheme="minorHAnsi" w:hAnsiTheme="minorHAnsi"/>
          <w:noProof/>
          <w:sz w:val="22"/>
        </w:rPr>
      </w:pPr>
      <w:hyperlink w:anchor="_Toc256000246"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_Toc256000246 \h </w:instrText>
        </w:r>
        <w:r>
          <w:fldChar w:fldCharType="separate"/>
        </w:r>
        <w:r>
          <w:t>891</w:t>
        </w:r>
        <w:r>
          <w:fldChar w:fldCharType="end"/>
        </w:r>
      </w:hyperlink>
    </w:p>
    <w:p>
      <w:pPr>
        <w:pStyle w:val="TOC3"/>
        <w:rPr>
          <w:rFonts w:asciiTheme="minorHAnsi" w:hAnsiTheme="minorHAnsi"/>
          <w:noProof/>
          <w:sz w:val="22"/>
        </w:rPr>
      </w:pPr>
      <w:hyperlink w:anchor="_Toc256000247"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_Toc256000247 \h </w:instrText>
        </w:r>
        <w:r>
          <w:fldChar w:fldCharType="separate"/>
        </w:r>
        <w:r>
          <w:t>891</w:t>
        </w:r>
        <w:r>
          <w:fldChar w:fldCharType="end"/>
        </w:r>
      </w:hyperlink>
    </w:p>
    <w:p>
      <w:pPr>
        <w:pStyle w:val="TOC2"/>
        <w:rPr>
          <w:rFonts w:asciiTheme="minorHAnsi" w:hAnsiTheme="minorHAnsi"/>
          <w:noProof/>
          <w:sz w:val="22"/>
        </w:rPr>
      </w:pPr>
      <w:hyperlink w:anchor="_Toc256000248"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_Toc256000248 \h </w:instrText>
        </w:r>
        <w:r>
          <w:fldChar w:fldCharType="separate"/>
        </w:r>
        <w:r>
          <w:t>891</w:t>
        </w:r>
        <w:r>
          <w:fldChar w:fldCharType="end"/>
        </w:r>
      </w:hyperlink>
    </w:p>
    <w:p>
      <w:pPr>
        <w:pStyle w:val="TOC3"/>
        <w:rPr>
          <w:rFonts w:asciiTheme="minorHAnsi" w:hAnsiTheme="minorHAnsi"/>
          <w:noProof/>
          <w:sz w:val="22"/>
        </w:rPr>
      </w:pPr>
      <w:hyperlink w:anchor="_Toc256000249"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_Toc256000249 \h </w:instrText>
        </w:r>
        <w:r>
          <w:fldChar w:fldCharType="separate"/>
        </w:r>
        <w:r>
          <w:t>891</w:t>
        </w:r>
        <w:r>
          <w:fldChar w:fldCharType="end"/>
        </w:r>
      </w:hyperlink>
    </w:p>
    <w:p>
      <w:pPr>
        <w:pStyle w:val="TOC3"/>
        <w:rPr>
          <w:rFonts w:asciiTheme="minorHAnsi" w:hAnsiTheme="minorHAnsi"/>
          <w:noProof/>
          <w:sz w:val="22"/>
        </w:rPr>
      </w:pPr>
      <w:hyperlink w:anchor="_Toc256000250"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_Toc256000250 \h </w:instrText>
        </w:r>
        <w:r>
          <w:fldChar w:fldCharType="separate"/>
        </w:r>
        <w:r>
          <w:t>891</w:t>
        </w:r>
        <w:r>
          <w:fldChar w:fldCharType="end"/>
        </w:r>
      </w:hyperlink>
    </w:p>
    <w:p>
      <w:pPr>
        <w:pStyle w:val="TOC2"/>
        <w:rPr>
          <w:rFonts w:asciiTheme="minorHAnsi" w:hAnsiTheme="minorHAnsi"/>
          <w:noProof/>
          <w:sz w:val="22"/>
        </w:rPr>
      </w:pPr>
      <w:hyperlink w:anchor="_Toc256000251"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_Toc256000251 \h </w:instrText>
        </w:r>
        <w:r>
          <w:fldChar w:fldCharType="separate"/>
        </w:r>
        <w:r>
          <w:t>892</w:t>
        </w:r>
        <w:r>
          <w:fldChar w:fldCharType="end"/>
        </w:r>
      </w:hyperlink>
    </w:p>
    <w:p>
      <w:pPr>
        <w:pStyle w:val="TOC3"/>
        <w:rPr>
          <w:rFonts w:asciiTheme="minorHAnsi" w:hAnsiTheme="minorHAnsi"/>
          <w:noProof/>
          <w:sz w:val="22"/>
        </w:rPr>
      </w:pPr>
      <w:hyperlink w:anchor="_Toc256000252"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_Toc256000252 \h </w:instrText>
        </w:r>
        <w:r>
          <w:fldChar w:fldCharType="separate"/>
        </w:r>
        <w:r>
          <w:t>892</w:t>
        </w:r>
        <w:r>
          <w:fldChar w:fldCharType="end"/>
        </w:r>
      </w:hyperlink>
    </w:p>
    <w:p>
      <w:pPr>
        <w:pStyle w:val="TOC3"/>
        <w:rPr>
          <w:rFonts w:asciiTheme="minorHAnsi" w:hAnsiTheme="minorHAnsi"/>
          <w:noProof/>
          <w:sz w:val="22"/>
        </w:rPr>
      </w:pPr>
      <w:hyperlink w:anchor="_Toc256000253"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_Toc256000253 \h </w:instrText>
        </w:r>
        <w:r>
          <w:fldChar w:fldCharType="separate"/>
        </w:r>
        <w:r>
          <w:t>892</w:t>
        </w:r>
        <w:r>
          <w:fldChar w:fldCharType="end"/>
        </w:r>
      </w:hyperlink>
    </w:p>
    <w:p>
      <w:pPr>
        <w:pStyle w:val="TOC2"/>
        <w:rPr>
          <w:rFonts w:asciiTheme="minorHAnsi" w:hAnsiTheme="minorHAnsi"/>
          <w:noProof/>
          <w:sz w:val="22"/>
        </w:rPr>
      </w:pPr>
      <w:hyperlink w:anchor="_Toc256000254"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_Toc256000254 \h </w:instrText>
        </w:r>
        <w:r>
          <w:fldChar w:fldCharType="separate"/>
        </w:r>
        <w:r>
          <w:t>892</w:t>
        </w:r>
        <w:r>
          <w:fldChar w:fldCharType="end"/>
        </w:r>
      </w:hyperlink>
    </w:p>
    <w:p>
      <w:pPr>
        <w:pStyle w:val="TOC3"/>
        <w:rPr>
          <w:rFonts w:asciiTheme="minorHAnsi" w:hAnsiTheme="minorHAnsi"/>
          <w:noProof/>
          <w:sz w:val="22"/>
        </w:rPr>
      </w:pPr>
      <w:hyperlink w:anchor="_Toc256000255"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_Toc256000255 \h </w:instrText>
        </w:r>
        <w:r>
          <w:fldChar w:fldCharType="separate"/>
        </w:r>
        <w:r>
          <w:t>892</w:t>
        </w:r>
        <w:r>
          <w:fldChar w:fldCharType="end"/>
        </w:r>
      </w:hyperlink>
    </w:p>
    <w:p>
      <w:pPr>
        <w:pStyle w:val="TOC3"/>
        <w:rPr>
          <w:rFonts w:asciiTheme="minorHAnsi" w:hAnsiTheme="minorHAnsi"/>
          <w:noProof/>
          <w:sz w:val="22"/>
        </w:rPr>
      </w:pPr>
      <w:hyperlink w:anchor="_Toc256000256"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_Toc256000256 \h </w:instrText>
        </w:r>
        <w:r>
          <w:fldChar w:fldCharType="separate"/>
        </w:r>
        <w:r>
          <w:t>892</w:t>
        </w:r>
        <w:r>
          <w:fldChar w:fldCharType="end"/>
        </w:r>
      </w:hyperlink>
    </w:p>
    <w:p>
      <w:pPr>
        <w:pStyle w:val="TOC2"/>
        <w:rPr>
          <w:rFonts w:asciiTheme="minorHAnsi" w:hAnsiTheme="minorHAnsi"/>
          <w:noProof/>
          <w:sz w:val="22"/>
        </w:rPr>
      </w:pPr>
      <w:hyperlink w:anchor="_Toc256000257"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_Toc256000257 \h </w:instrText>
        </w:r>
        <w:r>
          <w:fldChar w:fldCharType="separate"/>
        </w:r>
        <w:r>
          <w:t>892</w:t>
        </w:r>
        <w:r>
          <w:fldChar w:fldCharType="end"/>
        </w:r>
      </w:hyperlink>
    </w:p>
    <w:p>
      <w:pPr>
        <w:pStyle w:val="TOC1"/>
        <w:rPr>
          <w:rFonts w:asciiTheme="minorHAnsi" w:hAnsiTheme="minorHAnsi"/>
          <w:noProof/>
          <w:sz w:val="22"/>
        </w:rPr>
      </w:pPr>
      <w:hyperlink w:anchor="_Toc256000258"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_Toc256000258 \h </w:instrText>
        </w:r>
        <w:r>
          <w:fldChar w:fldCharType="separate"/>
        </w:r>
        <w:r>
          <w:t>896</w:t>
        </w:r>
        <w:r>
          <w:fldChar w:fldCharType="end"/>
        </w:r>
      </w:hyperlink>
    </w:p>
    <w:p>
      <w:pPr>
        <w:pStyle w:val="TOC2"/>
        <w:rPr>
          <w:rFonts w:asciiTheme="minorHAnsi" w:hAnsiTheme="minorHAnsi"/>
          <w:noProof/>
          <w:sz w:val="22"/>
        </w:rPr>
      </w:pPr>
      <w:hyperlink w:anchor="_Toc256000259"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_Toc256000259 \h </w:instrText>
        </w:r>
        <w:r>
          <w:fldChar w:fldCharType="separate"/>
        </w:r>
        <w:r>
          <w:t>896</w:t>
        </w:r>
        <w:r>
          <w:fldChar w:fldCharType="end"/>
        </w:r>
      </w:hyperlink>
    </w:p>
    <w:p>
      <w:pPr>
        <w:pStyle w:val="TOC2"/>
        <w:rPr>
          <w:rFonts w:asciiTheme="minorHAnsi" w:hAnsiTheme="minorHAnsi"/>
          <w:noProof/>
          <w:sz w:val="22"/>
        </w:rPr>
      </w:pPr>
      <w:hyperlink w:anchor="_Toc256000260"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_Toc256000260 \h </w:instrText>
        </w:r>
        <w:r>
          <w:fldChar w:fldCharType="separate"/>
        </w:r>
        <w:r>
          <w:t>896</w:t>
        </w:r>
        <w:r>
          <w:fldChar w:fldCharType="end"/>
        </w:r>
      </w:hyperlink>
    </w:p>
    <w:p>
      <w:pPr>
        <w:pStyle w:val="TOC2"/>
        <w:rPr>
          <w:rFonts w:asciiTheme="minorHAnsi" w:hAnsiTheme="minorHAnsi"/>
          <w:noProof/>
          <w:sz w:val="22"/>
        </w:rPr>
      </w:pPr>
      <w:hyperlink w:anchor="_Toc256000261"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_Toc256000261 \h </w:instrText>
        </w:r>
        <w:r>
          <w:fldChar w:fldCharType="separate"/>
        </w:r>
        <w:r>
          <w:t>898</w:t>
        </w:r>
        <w:r>
          <w:fldChar w:fldCharType="end"/>
        </w:r>
      </w:hyperlink>
    </w:p>
    <w:p>
      <w:pPr>
        <w:pStyle w:val="TOC2"/>
        <w:rPr>
          <w:rFonts w:asciiTheme="minorHAnsi" w:hAnsiTheme="minorHAnsi"/>
          <w:noProof/>
          <w:sz w:val="22"/>
        </w:rPr>
      </w:pPr>
      <w:hyperlink w:anchor="_Toc256000262"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_Toc256000262 \h </w:instrText>
        </w:r>
        <w:r>
          <w:fldChar w:fldCharType="separate"/>
        </w:r>
        <w:r>
          <w:t>904</w:t>
        </w:r>
        <w:r>
          <w:fldChar w:fldCharType="end"/>
        </w:r>
      </w:hyperlink>
    </w:p>
    <w:p>
      <w:pPr>
        <w:pStyle w:val="TOC1"/>
        <w:rPr>
          <w:rFonts w:asciiTheme="minorHAnsi" w:hAnsiTheme="minorHAnsi"/>
          <w:noProof/>
          <w:sz w:val="22"/>
        </w:rPr>
      </w:pPr>
      <w:hyperlink w:anchor="_Toc256000263"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_Toc256000263 \h </w:instrText>
        </w:r>
        <w:r>
          <w:fldChar w:fldCharType="separate"/>
        </w:r>
        <w:r>
          <w:t>905</w:t>
        </w:r>
        <w:r>
          <w:fldChar w:fldCharType="end"/>
        </w:r>
      </w:hyperlink>
    </w:p>
    <w:p>
      <w:pPr>
        <w:pStyle w:val="TOC2"/>
        <w:rPr>
          <w:rFonts w:asciiTheme="minorHAnsi" w:hAnsiTheme="minorHAnsi"/>
          <w:noProof/>
          <w:sz w:val="22"/>
        </w:rPr>
      </w:pPr>
      <w:hyperlink w:anchor="_Toc256000264"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_Toc256000264 \h </w:instrText>
        </w:r>
        <w:r>
          <w:fldChar w:fldCharType="separate"/>
        </w:r>
        <w:r>
          <w:t>905</w:t>
        </w:r>
        <w:r>
          <w:fldChar w:fldCharType="end"/>
        </w:r>
      </w:hyperlink>
    </w:p>
    <w:p>
      <w:pPr>
        <w:pStyle w:val="TOC2"/>
        <w:rPr>
          <w:rFonts w:asciiTheme="minorHAnsi" w:hAnsiTheme="minorHAnsi"/>
          <w:noProof/>
          <w:sz w:val="22"/>
        </w:rPr>
      </w:pPr>
      <w:hyperlink w:anchor="_Toc256000265"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_Toc256000265 \h </w:instrText>
        </w:r>
        <w:r>
          <w:fldChar w:fldCharType="separate"/>
        </w:r>
        <w:r>
          <w:t>906</w:t>
        </w:r>
        <w:r>
          <w:fldChar w:fldCharType="end"/>
        </w:r>
      </w:hyperlink>
    </w:p>
    <w:p>
      <w:pPr>
        <w:pStyle w:val="TOC1"/>
        <w:rPr>
          <w:rFonts w:asciiTheme="minorHAnsi" w:hAnsiTheme="minorHAnsi"/>
          <w:noProof/>
          <w:sz w:val="22"/>
        </w:rPr>
      </w:pPr>
      <w:hyperlink w:anchor="_Toc256000266"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_Toc256000266 \h </w:instrText>
        </w:r>
        <w:r>
          <w:fldChar w:fldCharType="separate"/>
        </w:r>
        <w:r>
          <w:t>909</w:t>
        </w:r>
        <w:r>
          <w:fldChar w:fldCharType="end"/>
        </w:r>
      </w:hyperlink>
    </w:p>
    <w:p>
      <w:pPr>
        <w:pStyle w:val="TOC2"/>
        <w:rPr>
          <w:rFonts w:asciiTheme="minorHAnsi" w:hAnsiTheme="minorHAnsi"/>
          <w:noProof/>
          <w:sz w:val="22"/>
        </w:rPr>
      </w:pPr>
      <w:hyperlink w:anchor="_Toc256000267"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_Toc256000267 \h </w:instrText>
        </w:r>
        <w:r>
          <w:fldChar w:fldCharType="separate"/>
        </w:r>
        <w:r>
          <w:t>909</w:t>
        </w:r>
        <w:r>
          <w:fldChar w:fldCharType="end"/>
        </w:r>
      </w:hyperlink>
    </w:p>
    <w:p>
      <w:pPr>
        <w:pStyle w:val="TOC2"/>
        <w:rPr>
          <w:rFonts w:asciiTheme="minorHAnsi" w:hAnsiTheme="minorHAnsi"/>
          <w:noProof/>
          <w:sz w:val="22"/>
        </w:rPr>
      </w:pPr>
      <w:hyperlink w:anchor="_Toc256000268"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_Toc256000268 \h </w:instrText>
        </w:r>
        <w:r>
          <w:fldChar w:fldCharType="separate"/>
        </w:r>
        <w:r>
          <w:t>911</w:t>
        </w:r>
        <w:r>
          <w:fldChar w:fldCharType="end"/>
        </w:r>
      </w:hyperlink>
    </w:p>
    <w:p>
      <w:pPr>
        <w:pStyle w:val="TOC1"/>
        <w:rPr>
          <w:rFonts w:asciiTheme="minorHAnsi" w:hAnsiTheme="minorHAnsi"/>
          <w:noProof/>
          <w:sz w:val="22"/>
        </w:rPr>
      </w:pPr>
      <w:hyperlink w:anchor="_Toc256000269"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_Toc256000269 \h </w:instrText>
        </w:r>
        <w:r>
          <w:fldChar w:fldCharType="separate"/>
        </w:r>
        <w:r>
          <w:t>913</w:t>
        </w:r>
        <w:r>
          <w:fldChar w:fldCharType="end"/>
        </w:r>
      </w:hyperlink>
    </w:p>
    <w:p>
      <w:pPr>
        <w:pStyle w:val="TOC2"/>
        <w:rPr>
          <w:rFonts w:asciiTheme="minorHAnsi" w:hAnsiTheme="minorHAnsi"/>
          <w:noProof/>
          <w:sz w:val="22"/>
        </w:rPr>
      </w:pPr>
      <w:hyperlink w:anchor="_Toc256000270" w:history="1">
        <w:r>
          <w:rPr>
            <w:rStyle w:val="Hyperlink"/>
          </w:rPr>
          <w:t>Документи</w:t>
        </w:r>
        <w:r>
          <w:tab/>
        </w:r>
        <w:r>
          <w:fldChar w:fldCharType="begin"/>
        </w:r>
        <w:r>
          <w:instrText xml:space="preserve"> PAGEREF _Toc256000270 \h </w:instrText>
        </w:r>
        <w:r>
          <w:fldChar w:fldCharType="separate"/>
        </w:r>
        <w:r>
          <w:t>914</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а. Решение по член 11, буква а), подточка i) (член 4, параграф 2, първа алинея от Регламент (ЕС) № 808/2014)</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04-04-2023</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на своето 20 редовно заседание проведено  на 04.04.20023 г. и последвалата писмена процедура за неприсъствено взимане на решения в периода 05-10.04.2023 г. одобри предложението за 16-то изменение на ПРСР (2014-2020 както следва:</w:t>
            </w:r>
          </w:p>
          <w:p>
            <w:pPr>
              <w:numPr>
                <w:ilvl w:val="0"/>
                <w:numId w:val="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 в текста на подмярка 2.2 „Създаване на консултантски услуги“ да бъде включено в 16-то изменение на ПРСР 2014-2020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 в текста на подмярка 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 от ПРСР 2014-2020 г.;</w:t>
            </w:r>
          </w:p>
          <w:p>
            <w:pPr>
              <w:numPr>
                <w:ilvl w:val="0"/>
                <w:numId w:val="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 в текста на подмярка 6.1 „Стартова помощ за млади земеделски стопани“ от ПРСР 2014-2020 г.;</w:t>
            </w:r>
          </w:p>
          <w:p>
            <w:pPr>
              <w:numPr>
                <w:ilvl w:val="0"/>
                <w:numId w:val="2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измененията в текста на подмярка 6.4.1 „Инвестиции в подкрепа на неземеделски дейности“ от ПРСР 2014-2020 г.;</w:t>
            </w:r>
          </w:p>
          <w:p>
            <w:pPr>
              <w:numPr>
                <w:ilvl w:val="0"/>
                <w:numId w:val="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 в текста на подмярка 7.2 „Инвестиции в създаването, подобряването или разширяването на всички видове малка по мащаби инфраструктура“;</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 в текста на мерки 10, 11 и 14 и предоставяне на възможност за актуализация на размера на компенсаторните плащания;</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 в текста на мярка 20 „Техническа помощ“ от ПРСР (2014-2020), свързани с уточняване обхвата на допустимост на разходите;</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измененията на текста в подраздел 8.1 „Описание на общите условия прилагани за повече от една мярка от ПРСР 2014-2020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 на Управляващия орган за прехвърляне на средства между мерки, подмерки и фокус-области от ПРСР;</w:t>
            </w:r>
          </w:p>
          <w:p>
            <w:pPr>
              <w:numPr>
                <w:ilvl w:val="0"/>
                <w:numId w:val="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по наблюдение на ПРСР предостави мандат на Управляващия орган да анализира възможността и да предприеме необходимите действия за извършване на наддоговаряне по мерки и подмерки от ПРСР, включително подмерки 4.1 и 4.2.;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по наблюдение на ПРСР (2014-2020) одобри Методология за индексация на разходи по мерки и подмерки от ПРСР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по наблюдение на ПРСР (2014-2020) съгласува предложението на Управляващия орган за Индикативната годишна работна програма за 2023 година на ПРСР (2014-2020)</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Шестнадесето изменение на ПРСР 2014-2020 г.</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Причините, които обосновават изменението са изложени подробно в приложенито "Annex - Explanatory note - transfer of funds between measures, submeasures and focus areas of RDP 2014-2020"</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Причините, които обосновават изменението са изложени подробно в приложенито "Annex - Explanatory note - transfer of funds between measures, submeasures and focus areas of RDP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Прехвърлянето на средства от Подмярка 7.3. „Широколентова инфраструктура, включително нейното създаване, подобрение и разширяване“ се предвижда да доведе до необходимост от промяна в целевите стойности на показателите за изпълнение, в т.ч. ключовите индикатори на ПРСР 2014-2020, тъй като средствата, разпределени за тази подмярка са единствените такива във фокус област 6В) „Подобряване на достъпа до информационни и комуникационни технологии (ИКТ), използването и качеството им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промяната ще бъдат повлияни показателите „Брой жители, които се ползват от нова или подобрена ИТ инфраструктура (напр. широколентов интернет)“, „Общо публични разходи (в евро)“, „Брой операции, получаващи подкрепа за инвестиции в широколентова инфраструктура и достъп до нея, в т.ч. електронно правителство (7.3)“, както и показателят T24 „Процент от населението в селските райони, което се възползва от нови или подобрени услуги/инфраструктура (ИКТ) (област с поставен акцент 6В)“.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тази промяна, изменението на ПРСР 2014-2020 се предвижда да бъде окачествено като „стратегическо“ – съгласно чл. 11, т. а), i) от Регламент № 1305/2013 - „i) промяна в програмната стратегия чрез промяна с повече от 50 % в количествено изразен резултат, свързан с област с поставен акцент“.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прехвърлянето вътре в подмярка 7.2. „Инвестиции в създаването, подобряването или разширяването на всички видове малка по мащаби инфраструктура“, от фокус област 5С (5В на кирилица)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 където при програмирането на ПРСР е предвидено по подмярка 7.2 да се подпомагат публични проекти за инвестиции във ВЕИ за собствено потребление, към Шести приоритет на Програмата – фокус област 6Б) „Стимулиране на местното развитие в селските райони“, се намалява показателят за брой проекти от 120 на 40, и съответно сумите от 70 млн. евро до 32.8 млн. евро във фокус област 5В, както и съответното увеличение на сумите с 55 млн. евро и 40 броя във фокус област 6Б) „Стимулиране на местното развитие в селските райони“ по отношение на Мярка 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предложените за извеждане средства от мерки с плащане на площ - Мярка 10 „Агроекология и климат“, Мярка 11 „Биологично земеделие“ и Мярка 12 „Плащания по „Натура-2000” и Рамковата директива за водите“ промяната във финансовите параметри на тези мерки не се предвижда да повлияе на заложените стратегически цели за площ (с изключение на извеждането на показателите, заложени предварително в системата за нестартиралата подмярка 12.2, които са разпределени в Приоритет 4) – т.е. показателите за площ не се предвижда да бъдат променяни, тъй като цяло са постигнати в задоволителна степен за мерките, които са стартирали към момента, а и не се предвижда заявяване на площи много над текущо заявяваните по тези мерки. Единствените промени се предвижда да бъдат по отношение стойностите на показателите в чисто финансов аспект.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Всички останали промени, свързани с прехвърляне на средства, ще окажат влияние единствено на показателите за продукт (output) и целевите показатели, които директно резултират от разпределени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предвижда промяна на показателите, свързани със създаване на работни места, както и тези, свързани с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за изменението, са отчетени и съобразени и изискванията на чл. 59, ал. 6 от Регламент 1305/2013, както и т.нар „non regression principle” (съгласно който тази сума трябва да бъде като съотношение над 35.7%). След всички планирани за прехвърляне суми между мерки и подмерки на ПРСР 2014-2020, по така направените изчисления, съотношението все още е в размер на 36.0%.</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настоящото предложение за изменение се предвижда извеждане на общо 141 776 288 евро от ЕЗФРСР (на тази сума отговарят 175 344 319 евро публични средства в мерките, от които се прави дедукцията), от гореописаните мерки и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същата сума ЕЗФРСР, прехвърлена към предложените мерки/подмерки, отговарят 171 315 235 евро публични средства, поради различния интензитет на ЕЗФРСР за някои от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резултат, разполагаемите средства от ЕЗФРСР остават без промяна – а именно 3 129 044 775 общо за ПРСР 2014-2020, а публичната помощ намалява с 4 029 085 евро публични средства, от 3 793 119 534 евро до 3 789 090 450 евро публични средства. В тази връзка, промяната не оказва негативно влияние нито върху европейския, нито върху държавния бюджет. Същото обаче ще окаже влияние върху Споразумението за партньорство, основно след преразпределението на средствата по тематични цели, като съответно ще се променят и стойностите на таблица 1.4.1 „Ориентировъчен размер на разпределена подкрепа от Съюза по тематична цел на национално равнище за всеки от европейските структурни и инвестиционни фондове (в евро)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52"/>
        <w:gridCol w:w="3552"/>
        <w:gridCol w:w="35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tcPr>
          <w:p>
            <w:pPr>
              <w:rPr>
                <w:b/>
              </w:rPr>
            </w:pPr>
            <w:r>
              <w:rPr>
                <w:b/>
              </w:rPr>
              <w:t>Наименование (или референтен номер) на препоръката</w:t>
            </w:r>
          </w:p>
        </w:tc>
        <w:tc>
          <w:tcPr>
            <w:tcW w:w="12000" w:type="dxa"/>
            <w:shd w:val="clear" w:color="auto" w:fill="C0C0C0"/>
          </w:tcPr>
          <w:p>
            <w:pPr>
              <w:rPr>
                <w:b/>
              </w:rPr>
            </w:pPr>
            <w:r>
              <w:rPr>
                <w:b/>
              </w:rPr>
              <w:t>Категория на препоръката</w:t>
            </w:r>
          </w:p>
        </w:tc>
        <w:tc>
          <w:tcPr>
            <w:tcW w:w="12000" w:type="dxa"/>
            <w:shd w:val="clear" w:color="auto" w:fill="C0C0C0"/>
          </w:tcPr>
          <w:p>
            <w:pPr>
              <w:rPr>
                <w:b w:val="0"/>
              </w:rPr>
            </w:pPr>
            <w:r>
              <w:rPr>
                <w:b/>
              </w:rPr>
              <w:t>Дата</w:t>
            </w:r>
          </w:p>
        </w:tc>
      </w:tr>
      <w:tr>
        <w:tblPrEx>
          <w:tblW w:w="5000" w:type="pct"/>
          <w:tblCellMar>
            <w:left w:w="108" w:type="dxa"/>
            <w:right w:w="108" w:type="dxa"/>
          </w:tblCellMar>
        </w:tblPrEx>
        <w:tc>
          <w:tcPr>
            <w:tcW w:w="12000" w:type="dxa"/>
            <w:shd w:val="clear" w:color="auto" w:fill="FFFFFF"/>
          </w:tcPr>
          <w:p>
            <w:pPr>
              <w:rPr>
                <w:b w:val="0"/>
              </w:rPr>
            </w:pPr>
            <w:r>
              <w:rPr>
                <w:b w:val="0"/>
              </w:rPr>
              <w:t>1.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2.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3.АНС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4.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5.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6.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7.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8.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9.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А. SWOT Aнализ</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Б. Потребности</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В. Стратегия 1</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Г. Стратегия 2</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Д. Стратегия 3</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Е. Специфични цели</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Ж. Финансови средства 1</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З. Финансови средства 2</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И. Финансови средства 3</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Й. Административни ресурси</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К. Обучение на персонала</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Л. Тематична подпрограма за малки стопанства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М. План за оценка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Н. Комуникация</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О. Участие на заинтересованите страни</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numPr>
                <w:ilvl w:val="0"/>
                <w:numId w:val="25"/>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76"/>
        <w:gridCol w:w="1776"/>
        <w:gridCol w:w="1776"/>
        <w:gridCol w:w="1776"/>
        <w:gridCol w:w="1776"/>
        <w:gridCol w:w="17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Код</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20"/>
        <w:gridCol w:w="620"/>
        <w:gridCol w:w="620"/>
        <w:gridCol w:w="619"/>
        <w:gridCol w:w="621"/>
        <w:gridCol w:w="620"/>
        <w:gridCol w:w="618"/>
        <w:gridCol w:w="2"/>
        <w:gridCol w:w="620"/>
        <w:gridCol w:w="618"/>
        <w:gridCol w:w="2"/>
        <w:gridCol w:w="620"/>
        <w:gridCol w:w="620"/>
        <w:gridCol w:w="617"/>
        <w:gridCol w:w="3"/>
        <w:gridCol w:w="620"/>
        <w:gridCol w:w="620"/>
        <w:gridCol w:w="620"/>
        <w:gridCol w:w="620"/>
        <w:gridCol w:w="616"/>
        <w:gridCol w:w="4"/>
        <w:gridCol w:w="620"/>
        <w:gridCol w:w="620"/>
        <w:gridCol w:w="615"/>
        <w:gridCol w:w="5"/>
        <w:gridCol w:w="620"/>
        <w:gridCol w:w="620"/>
        <w:gridCol w:w="61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tcW w:w="36000" w:type="dxa"/>
            <w:gridSpan w:val="3"/>
            <w:shd w:val="clear" w:color="auto" w:fill="808080"/>
            <w:noWrap w:val="0"/>
            <w:tcMar>
              <w:top w:w="20" w:type="dxa"/>
              <w:bottom w:w="20" w:type="dxa"/>
            </w:tcMar>
            <w:vAlign w:val="center"/>
          </w:tcPr>
          <w:p>
            <w:pPr>
              <w:jc w:val="center"/>
              <w:rPr>
                <w:b/>
                <w:sz w:val="20"/>
              </w:rPr>
            </w:pPr>
            <w:r>
              <w:rPr>
                <w:b/>
                <w:sz w:val="20"/>
              </w:rPr>
              <w:t>P1</w:t>
            </w:r>
          </w:p>
        </w:tc>
        <w:tc>
          <w:tcPr>
            <w:tcW w:w="36000" w:type="dxa"/>
            <w:gridSpan w:val="3"/>
            <w:shd w:val="clear" w:color="auto" w:fill="808080"/>
            <w:noWrap w:val="0"/>
            <w:tcMar>
              <w:top w:w="20" w:type="dxa"/>
              <w:bottom w:w="20" w:type="dxa"/>
            </w:tcMar>
            <w:vAlign w:val="center"/>
          </w:tcPr>
          <w:p>
            <w:pPr>
              <w:jc w:val="center"/>
              <w:rPr>
                <w:b/>
                <w:sz w:val="20"/>
              </w:rPr>
            </w:pPr>
            <w:r>
              <w:rPr>
                <w:b/>
                <w:sz w:val="20"/>
              </w:rPr>
              <w:t>P2</w:t>
            </w:r>
          </w:p>
        </w:tc>
        <w:tc>
          <w:tcPr>
            <w:tcW w:w="24000" w:type="dxa"/>
            <w:gridSpan w:val="3"/>
            <w:shd w:val="clear" w:color="auto" w:fill="808080"/>
            <w:noWrap w:val="0"/>
            <w:tcMar>
              <w:top w:w="20" w:type="dxa"/>
              <w:bottom w:w="20" w:type="dxa"/>
            </w:tcMar>
            <w:vAlign w:val="center"/>
          </w:tcPr>
          <w:p>
            <w:pPr>
              <w:jc w:val="center"/>
              <w:rPr>
                <w:b/>
                <w:sz w:val="20"/>
              </w:rPr>
            </w:pPr>
            <w:r>
              <w:rPr>
                <w:b/>
                <w:sz w:val="20"/>
              </w:rPr>
              <w:t>P3</w:t>
            </w:r>
          </w:p>
        </w:tc>
        <w:tc>
          <w:tcPr>
            <w:tcW w:w="36000" w:type="dxa"/>
            <w:gridSpan w:val="4"/>
            <w:shd w:val="clear" w:color="auto" w:fill="808080"/>
            <w:noWrap w:val="0"/>
            <w:tcMar>
              <w:top w:w="20" w:type="dxa"/>
              <w:bottom w:w="20" w:type="dxa"/>
            </w:tcMar>
            <w:vAlign w:val="center"/>
          </w:tcPr>
          <w:p>
            <w:pPr>
              <w:jc w:val="center"/>
              <w:rPr>
                <w:b/>
                <w:sz w:val="20"/>
              </w:rPr>
            </w:pPr>
            <w:r>
              <w:rPr>
                <w:b/>
                <w:sz w:val="20"/>
              </w:rPr>
              <w:t>P4</w:t>
            </w:r>
          </w:p>
        </w:tc>
        <w:tc>
          <w:tcPr>
            <w:tcW w:w="60000" w:type="dxa"/>
            <w:gridSpan w:val="6"/>
            <w:shd w:val="clear" w:color="auto" w:fill="808080"/>
            <w:noWrap w:val="0"/>
            <w:tcMar>
              <w:top w:w="20" w:type="dxa"/>
              <w:bottom w:w="20" w:type="dxa"/>
            </w:tcMar>
            <w:vAlign w:val="center"/>
          </w:tcPr>
          <w:p>
            <w:pPr>
              <w:jc w:val="center"/>
              <w:rPr>
                <w:b/>
                <w:sz w:val="20"/>
              </w:rPr>
            </w:pPr>
            <w:r>
              <w:rPr>
                <w:b/>
                <w:sz w:val="20"/>
              </w:rPr>
              <w:t>P5</w:t>
            </w:r>
          </w:p>
        </w:tc>
        <w:tc>
          <w:tcPr>
            <w:tcW w:w="36000" w:type="dxa"/>
            <w:gridSpan w:val="4"/>
            <w:shd w:val="clear" w:color="auto" w:fill="808080"/>
            <w:noWrap w:val="0"/>
            <w:tcMar>
              <w:top w:w="20" w:type="dxa"/>
              <w:bottom w:w="20" w:type="dxa"/>
            </w:tcMar>
            <w:vAlign w:val="center"/>
          </w:tcPr>
          <w:p>
            <w:pPr>
              <w:jc w:val="center"/>
              <w:rPr>
                <w:b/>
                <w:sz w:val="20"/>
              </w:rPr>
            </w:pPr>
            <w:r>
              <w:rPr>
                <w:b/>
                <w:sz w:val="20"/>
              </w:rPr>
              <w:t>P6</w:t>
            </w:r>
          </w:p>
        </w:tc>
        <w:tc>
          <w:tcPr>
            <w:tcW w:w="36000" w:type="dxa"/>
            <w:gridSpan w:val="4"/>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tcW w:w="12000" w:type="dxa"/>
            <w:vMerge/>
            <w:shd w:val="clear" w:color="auto" w:fill="808080"/>
            <w:noWrap w:val="0"/>
            <w:tcMar>
              <w:top w:w="20" w:type="dxa"/>
              <w:bottom w:w="20" w:type="dxa"/>
            </w:tcMar>
            <w:vAlign w:val="center"/>
          </w:tcPr>
          <w:p>
            <w:pPr>
              <w:jc w:val="center"/>
              <w:rPr>
                <w:b/>
                <w:sz w:val="20"/>
              </w:rPr>
            </w:pPr>
          </w:p>
        </w:tc>
        <w:tc>
          <w:tcPr>
            <w:tcW w:w="12000" w:type="dxa"/>
            <w:shd w:val="clear" w:color="auto" w:fill="C0C0C0"/>
            <w:noWrap w:val="0"/>
            <w:tcMar>
              <w:top w:w="20" w:type="dxa"/>
              <w:bottom w:w="20" w:type="dxa"/>
            </w:tcMar>
            <w:vAlign w:val="center"/>
          </w:tcPr>
          <w:p>
            <w:pPr>
              <w:jc w:val="center"/>
              <w:rPr>
                <w:b w:val="0"/>
                <w:sz w:val="16"/>
              </w:rPr>
            </w:pPr>
            <w:r>
              <w:rPr>
                <w:b w:val="0"/>
                <w:sz w:val="16"/>
              </w:rPr>
              <w:t>1A</w:t>
            </w:r>
          </w:p>
        </w:tc>
        <w:tc>
          <w:tcPr>
            <w:tcW w:w="12000" w:type="dxa"/>
            <w:shd w:val="clear" w:color="auto" w:fill="C0C0C0"/>
            <w:noWrap w:val="0"/>
            <w:tcMar>
              <w:top w:w="20" w:type="dxa"/>
              <w:bottom w:w="20" w:type="dxa"/>
            </w:tcMar>
            <w:vAlign w:val="center"/>
          </w:tcPr>
          <w:p>
            <w:pPr>
              <w:jc w:val="center"/>
              <w:rPr>
                <w:b w:val="0"/>
                <w:sz w:val="16"/>
              </w:rPr>
            </w:pPr>
            <w:r>
              <w:rPr>
                <w:b w:val="0"/>
                <w:sz w:val="16"/>
              </w:rPr>
              <w:t>1B</w:t>
            </w:r>
          </w:p>
        </w:tc>
        <w:tc>
          <w:tcPr>
            <w:tcW w:w="12000" w:type="dxa"/>
            <w:shd w:val="clear" w:color="auto" w:fill="C0C0C0"/>
            <w:noWrap w:val="0"/>
            <w:tcMar>
              <w:top w:w="20" w:type="dxa"/>
              <w:bottom w:w="20" w:type="dxa"/>
            </w:tcMar>
            <w:vAlign w:val="center"/>
          </w:tcPr>
          <w:p>
            <w:pPr>
              <w:jc w:val="center"/>
              <w:rPr>
                <w:b w:val="0"/>
                <w:sz w:val="16"/>
              </w:rPr>
            </w:pPr>
            <w:r>
              <w:rPr>
                <w:b w:val="0"/>
                <w:sz w:val="16"/>
              </w:rPr>
              <w:t>1C</w:t>
            </w:r>
          </w:p>
        </w:tc>
        <w:tc>
          <w:tcPr>
            <w:tcW w:w="12000" w:type="dxa"/>
            <w:shd w:val="clear" w:color="auto" w:fill="C0C0C0"/>
            <w:noWrap w:val="0"/>
            <w:tcMar>
              <w:top w:w="20" w:type="dxa"/>
              <w:bottom w:w="20" w:type="dxa"/>
            </w:tcMar>
            <w:vAlign w:val="center"/>
          </w:tcPr>
          <w:p>
            <w:pPr>
              <w:jc w:val="center"/>
              <w:rPr>
                <w:b w:val="0"/>
                <w:sz w:val="16"/>
              </w:rPr>
            </w:pPr>
            <w:r>
              <w:rPr>
                <w:b w:val="0"/>
                <w:sz w:val="16"/>
              </w:rPr>
              <w:t>2A</w:t>
            </w:r>
          </w:p>
        </w:tc>
        <w:tc>
          <w:tcPr>
            <w:tcW w:w="12000" w:type="dxa"/>
            <w:shd w:val="clear" w:color="auto" w:fill="C0C0C0"/>
            <w:noWrap w:val="0"/>
            <w:tcMar>
              <w:top w:w="20" w:type="dxa"/>
              <w:bottom w:w="20" w:type="dxa"/>
            </w:tcMar>
            <w:vAlign w:val="center"/>
          </w:tcPr>
          <w:p>
            <w:pPr>
              <w:jc w:val="center"/>
              <w:rPr>
                <w:b w:val="0"/>
                <w:sz w:val="16"/>
              </w:rPr>
            </w:pPr>
            <w:r>
              <w:rPr>
                <w:b w:val="0"/>
                <w:sz w:val="16"/>
              </w:rPr>
              <w:t>2B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2C+</w:t>
            </w:r>
          </w:p>
        </w:tc>
        <w:tc>
          <w:tcPr>
            <w:tcW w:w="12000" w:type="dxa"/>
            <w:shd w:val="clear" w:color="auto" w:fill="C0C0C0"/>
            <w:noWrap w:val="0"/>
            <w:tcMar>
              <w:top w:w="20" w:type="dxa"/>
              <w:bottom w:w="20" w:type="dxa"/>
            </w:tcMar>
            <w:vAlign w:val="center"/>
          </w:tcPr>
          <w:p>
            <w:pPr>
              <w:jc w:val="center"/>
              <w:rPr>
                <w:b w:val="0"/>
                <w:sz w:val="16"/>
              </w:rPr>
            </w:pPr>
            <w:r>
              <w:rPr>
                <w:b w:val="0"/>
                <w:sz w:val="16"/>
              </w:rPr>
              <w:t>3A</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3B</w:t>
            </w:r>
          </w:p>
        </w:tc>
        <w:tc>
          <w:tcPr>
            <w:tcW w:w="12000" w:type="dxa"/>
            <w:shd w:val="clear" w:color="auto" w:fill="C0C0C0"/>
            <w:noWrap w:val="0"/>
            <w:tcMar>
              <w:top w:w="20" w:type="dxa"/>
              <w:bottom w:w="20" w:type="dxa"/>
            </w:tcMar>
            <w:vAlign w:val="center"/>
          </w:tcPr>
          <w:p>
            <w:pPr>
              <w:jc w:val="center"/>
              <w:rPr>
                <w:b w:val="0"/>
                <w:sz w:val="16"/>
              </w:rPr>
            </w:pPr>
            <w:r>
              <w:rPr>
                <w:b w:val="0"/>
                <w:sz w:val="16"/>
              </w:rPr>
              <w:t>4A</w:t>
            </w:r>
          </w:p>
        </w:tc>
        <w:tc>
          <w:tcPr>
            <w:tcW w:w="12000" w:type="dxa"/>
            <w:shd w:val="clear" w:color="auto" w:fill="C0C0C0"/>
            <w:noWrap w:val="0"/>
            <w:tcMar>
              <w:top w:w="20" w:type="dxa"/>
              <w:bottom w:w="20" w:type="dxa"/>
            </w:tcMar>
            <w:vAlign w:val="center"/>
          </w:tcPr>
          <w:p>
            <w:pPr>
              <w:jc w:val="center"/>
              <w:rPr>
                <w:b w:val="0"/>
                <w:sz w:val="16"/>
              </w:rPr>
            </w:pPr>
            <w:r>
              <w:rPr>
                <w:b w:val="0"/>
                <w:sz w:val="16"/>
              </w:rPr>
              <w:t>4B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4C</w:t>
            </w:r>
          </w:p>
        </w:tc>
        <w:tc>
          <w:tcPr>
            <w:tcW w:w="12000" w:type="dxa"/>
            <w:shd w:val="clear" w:color="auto" w:fill="C0C0C0"/>
            <w:noWrap w:val="0"/>
            <w:tcMar>
              <w:top w:w="20" w:type="dxa"/>
              <w:bottom w:w="20" w:type="dxa"/>
            </w:tcMar>
            <w:vAlign w:val="center"/>
          </w:tcPr>
          <w:p>
            <w:pPr>
              <w:jc w:val="center"/>
              <w:rPr>
                <w:b w:val="0"/>
                <w:sz w:val="16"/>
              </w:rPr>
            </w:pPr>
            <w:r>
              <w:rPr>
                <w:b w:val="0"/>
                <w:sz w:val="16"/>
              </w:rPr>
              <w:t>5A</w:t>
            </w:r>
          </w:p>
        </w:tc>
        <w:tc>
          <w:tcPr>
            <w:tcW w:w="12000" w:type="dxa"/>
            <w:shd w:val="clear" w:color="auto" w:fill="C0C0C0"/>
            <w:noWrap w:val="0"/>
            <w:tcMar>
              <w:top w:w="20" w:type="dxa"/>
              <w:bottom w:w="20" w:type="dxa"/>
            </w:tcMar>
            <w:vAlign w:val="center"/>
          </w:tcPr>
          <w:p>
            <w:pPr>
              <w:jc w:val="center"/>
              <w:rPr>
                <w:b w:val="0"/>
                <w:sz w:val="16"/>
              </w:rPr>
            </w:pPr>
            <w:r>
              <w:rPr>
                <w:b w:val="0"/>
                <w:sz w:val="16"/>
              </w:rPr>
              <w:t>5B</w:t>
            </w:r>
          </w:p>
        </w:tc>
        <w:tc>
          <w:tcPr>
            <w:tcW w:w="12000" w:type="dxa"/>
            <w:shd w:val="clear" w:color="auto" w:fill="C0C0C0"/>
            <w:noWrap w:val="0"/>
            <w:tcMar>
              <w:top w:w="20" w:type="dxa"/>
              <w:bottom w:w="20" w:type="dxa"/>
            </w:tcMar>
            <w:vAlign w:val="center"/>
          </w:tcPr>
          <w:p>
            <w:pPr>
              <w:jc w:val="center"/>
              <w:rPr>
                <w:b w:val="0"/>
                <w:sz w:val="16"/>
              </w:rPr>
            </w:pPr>
            <w:r>
              <w:rPr>
                <w:b w:val="0"/>
                <w:sz w:val="16"/>
              </w:rPr>
              <w:t>5C</w:t>
            </w:r>
          </w:p>
        </w:tc>
        <w:tc>
          <w:tcPr>
            <w:tcW w:w="12000" w:type="dxa"/>
            <w:shd w:val="clear" w:color="auto" w:fill="C0C0C0"/>
            <w:noWrap w:val="0"/>
            <w:tcMar>
              <w:top w:w="20" w:type="dxa"/>
              <w:bottom w:w="20" w:type="dxa"/>
            </w:tcMar>
            <w:vAlign w:val="center"/>
          </w:tcPr>
          <w:p>
            <w:pPr>
              <w:jc w:val="center"/>
              <w:rPr>
                <w:b w:val="0"/>
                <w:sz w:val="16"/>
              </w:rPr>
            </w:pPr>
            <w:r>
              <w:rPr>
                <w:b w:val="0"/>
                <w:sz w:val="16"/>
              </w:rPr>
              <w:t>5D</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5E</w:t>
            </w:r>
          </w:p>
        </w:tc>
        <w:tc>
          <w:tcPr>
            <w:tcW w:w="12000" w:type="dxa"/>
            <w:shd w:val="clear" w:color="auto" w:fill="C0C0C0"/>
            <w:noWrap w:val="0"/>
            <w:tcMar>
              <w:top w:w="20" w:type="dxa"/>
              <w:bottom w:w="20" w:type="dxa"/>
            </w:tcMar>
            <w:vAlign w:val="center"/>
          </w:tcPr>
          <w:p>
            <w:pPr>
              <w:jc w:val="center"/>
              <w:rPr>
                <w:b w:val="0"/>
                <w:sz w:val="16"/>
              </w:rPr>
            </w:pPr>
            <w:r>
              <w:rPr>
                <w:b w:val="0"/>
                <w:sz w:val="16"/>
              </w:rPr>
              <w:t>6A</w:t>
            </w:r>
          </w:p>
        </w:tc>
        <w:tc>
          <w:tcPr>
            <w:tcW w:w="12000" w:type="dxa"/>
            <w:shd w:val="clear" w:color="auto" w:fill="C0C0C0"/>
            <w:noWrap w:val="0"/>
            <w:tcMar>
              <w:top w:w="20" w:type="dxa"/>
              <w:bottom w:w="20" w:type="dxa"/>
            </w:tcMar>
            <w:vAlign w:val="center"/>
          </w:tcPr>
          <w:p>
            <w:pPr>
              <w:jc w:val="center"/>
              <w:rPr>
                <w:b w:val="0"/>
                <w:sz w:val="16"/>
              </w:rPr>
            </w:pPr>
            <w:r>
              <w:rPr>
                <w:b w:val="0"/>
                <w:sz w:val="16"/>
              </w:rPr>
              <w:t>6B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6C</w:t>
            </w:r>
          </w:p>
        </w:tc>
        <w:tc>
          <w:tcPr>
            <w:tcW w:w="12000" w:type="dxa"/>
            <w:shd w:val="clear" w:color="auto" w:fill="C0C0C0"/>
            <w:noWrap w:val="0"/>
            <w:tcMar>
              <w:top w:w="20" w:type="dxa"/>
              <w:bottom w:w="20" w:type="dxa"/>
            </w:tcMar>
            <w:vAlign w:val="center"/>
          </w:tcPr>
          <w:p>
            <w:pPr>
              <w:jc w:val="center"/>
              <w:rPr>
                <w:b w:val="0"/>
                <w:sz w:val="16"/>
              </w:rPr>
            </w:pPr>
            <w:r>
              <w:rPr>
                <w:b w:val="0"/>
                <w:sz w:val="16"/>
              </w:rPr>
              <w:t>Околна среда</w:t>
            </w:r>
          </w:p>
        </w:tc>
        <w:tc>
          <w:tcPr>
            <w:tcW w:w="12000" w:type="dxa"/>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tcW w:w="12000" w:type="dxa"/>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6"/>
              </w:numPr>
              <w:rPr>
                <w:b w:val="0"/>
              </w:rPr>
            </w:pPr>
            <w:r>
              <w:rPr>
                <w:b w:val="0"/>
              </w:rPr>
              <w:t>1А) Стимулиране на иновациите, сътрудничеството и развитието на базата от знания в селските райони</w:t>
            </w:r>
          </w:p>
          <w:p>
            <w:pPr>
              <w:numPr>
                <w:numId w:val="26"/>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6"/>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6"/>
              </w:numPr>
              <w:rPr>
                <w:b w:val="0"/>
              </w:rPr>
            </w:pPr>
            <w:r>
              <w:rPr>
                <w:b w:val="0"/>
              </w:rPr>
              <w:t>4В) Предотвратяване на ерозията на почвите и подобряване на управлението им</w:t>
            </w:r>
          </w:p>
          <w:p>
            <w:pPr>
              <w:numPr>
                <w:numId w:val="26"/>
              </w:numPr>
              <w:rPr>
                <w:b w:val="0"/>
              </w:rPr>
            </w:pPr>
            <w:r>
              <w:rPr>
                <w:b w:val="0"/>
              </w:rPr>
              <w:t xml:space="preserve">5А) Повишаване на ефективността при потреблението на вода в селското стопанство </w:t>
            </w:r>
          </w:p>
          <w:p>
            <w:pPr>
              <w:numPr>
                <w:numId w:val="2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6"/>
              </w:numPr>
              <w:rPr>
                <w:b w:val="0"/>
              </w:rPr>
            </w:pPr>
            <w:r>
              <w:rPr>
                <w:b w:val="0"/>
              </w:rPr>
              <w:t>5Г) Намаляване на емисиите на парникови газове и амоняк от селското стопанство</w:t>
            </w:r>
          </w:p>
          <w:p>
            <w:pPr>
              <w:numPr>
                <w:numId w:val="26"/>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7"/>
              </w:numPr>
              <w:rPr>
                <w:b w:val="0"/>
              </w:rPr>
            </w:pPr>
            <w:r>
              <w:rPr>
                <w:b w:val="0"/>
              </w:rPr>
              <w:t>Околна среда</w:t>
            </w:r>
          </w:p>
          <w:p>
            <w:pPr>
              <w:numPr>
                <w:numId w:val="2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8"/>
              </w:numPr>
              <w:rPr>
                <w:b w:val="0"/>
              </w:rPr>
            </w:pPr>
            <w:r>
              <w:rPr>
                <w:b w:val="0"/>
              </w:rPr>
              <w:t>1А) Стимулиране на иновациите, сътрудничеството и развитието на базата от знания в селските райони</w:t>
            </w:r>
          </w:p>
          <w:p>
            <w:pPr>
              <w:numPr>
                <w:numId w:val="2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8"/>
              </w:numPr>
              <w:rPr>
                <w:b w:val="0"/>
              </w:rPr>
            </w:pPr>
            <w:r>
              <w:rPr>
                <w:b w:val="0"/>
              </w:rPr>
              <w:t xml:space="preserve">4Б) Подобряване управлението на водите, включително управлението на торовете и пестицидите </w:t>
            </w:r>
          </w:p>
          <w:p>
            <w:pPr>
              <w:numPr>
                <w:numId w:val="28"/>
              </w:numPr>
              <w:rPr>
                <w:b w:val="0"/>
              </w:rPr>
            </w:pPr>
            <w:r>
              <w:rPr>
                <w:b w:val="0"/>
              </w:rPr>
              <w:t>4В) Предотвратяване на ерозията на почвите и подобряване на управлението им</w:t>
            </w:r>
          </w:p>
          <w:p>
            <w:pPr>
              <w:numPr>
                <w:numId w:val="28"/>
              </w:numPr>
              <w:rPr>
                <w:b w:val="0"/>
              </w:rPr>
            </w:pPr>
            <w:r>
              <w:rPr>
                <w:b w:val="0"/>
              </w:rPr>
              <w:t xml:space="preserve">5А) Повишаване на ефективността при потреблението на вода в селското стопанство </w:t>
            </w:r>
          </w:p>
          <w:p>
            <w:pPr>
              <w:numPr>
                <w:numId w:val="2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8"/>
              </w:numPr>
              <w:rPr>
                <w:b w:val="0"/>
              </w:rPr>
            </w:pPr>
            <w:r>
              <w:rPr>
                <w:b w:val="0"/>
              </w:rPr>
              <w:t>5Г) Намаляване на емисиите на парникови газове и амоняк от селското стопанство</w:t>
            </w:r>
          </w:p>
          <w:p>
            <w:pPr>
              <w:numPr>
                <w:numId w:val="28"/>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9"/>
              </w:numPr>
              <w:rPr>
                <w:b w:val="0"/>
              </w:rPr>
            </w:pPr>
            <w:r>
              <w:rPr>
                <w:b w:val="0"/>
              </w:rPr>
              <w:t>Околна среда</w:t>
            </w:r>
          </w:p>
          <w:p>
            <w:pPr>
              <w:numPr>
                <w:numId w:val="2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0"/>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0"/>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0"/>
              </w:numPr>
              <w:rPr>
                <w:b w:val="0"/>
              </w:rPr>
            </w:pPr>
            <w:r>
              <w:rPr>
                <w:b w:val="0"/>
              </w:rPr>
              <w:t xml:space="preserve">4Б) Подобряване управлението на водите, включително управлението на торовете и пестицидите </w:t>
            </w:r>
          </w:p>
          <w:p>
            <w:pPr>
              <w:numPr>
                <w:numId w:val="30"/>
              </w:numPr>
              <w:rPr>
                <w:b w:val="0"/>
              </w:rPr>
            </w:pPr>
            <w:r>
              <w:rPr>
                <w:b w:val="0"/>
              </w:rPr>
              <w:t>4В) Предотвратяване на ерозията на почвите и подобряване на управлението им</w:t>
            </w:r>
          </w:p>
          <w:p>
            <w:pPr>
              <w:numPr>
                <w:numId w:val="30"/>
              </w:numPr>
              <w:rPr>
                <w:b w:val="0"/>
              </w:rPr>
            </w:pPr>
            <w:r>
              <w:rPr>
                <w:b w:val="0"/>
              </w:rPr>
              <w:t xml:space="preserve">5А) Повишаване на ефективността при потреблението на вода в селското стопанство </w:t>
            </w:r>
          </w:p>
          <w:p>
            <w:pPr>
              <w:numPr>
                <w:numId w:val="3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0"/>
              </w:numPr>
              <w:rPr>
                <w:b w:val="0"/>
              </w:rPr>
            </w:pPr>
            <w:r>
              <w:rPr>
                <w:b w:val="0"/>
              </w:rPr>
              <w:t>5Г) Намаляване на емисиите на парникови газове и амоняк от селското стопанство</w:t>
            </w:r>
          </w:p>
          <w:p>
            <w:pPr>
              <w:numPr>
                <w:numId w:val="30"/>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1"/>
              </w:numPr>
              <w:rPr>
                <w:b w:val="0"/>
              </w:rPr>
            </w:pPr>
            <w:r>
              <w:rPr>
                <w:b w:val="0"/>
              </w:rPr>
              <w:t>Околна среда</w:t>
            </w:r>
          </w:p>
          <w:p>
            <w:pPr>
              <w:numPr>
                <w:numId w:val="3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3"/>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3"/>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3"/>
              </w:numPr>
              <w:rPr>
                <w:b w:val="0"/>
              </w:rPr>
            </w:pPr>
            <w:r>
              <w:rPr>
                <w:b w:val="0"/>
              </w:rPr>
              <w:t xml:space="preserve">4Б) Подобряване управлението на водите, включително управлението на торовете и пестицидите </w:t>
            </w:r>
          </w:p>
          <w:p>
            <w:pPr>
              <w:numPr>
                <w:numId w:val="33"/>
              </w:numPr>
              <w:rPr>
                <w:b w:val="0"/>
              </w:rPr>
            </w:pPr>
            <w:r>
              <w:rPr>
                <w:b w:val="0"/>
              </w:rPr>
              <w:t>4В) Предотвратяване на ерозията на почвите и подобряване на управлението им</w:t>
            </w:r>
          </w:p>
          <w:p>
            <w:pPr>
              <w:numPr>
                <w:numId w:val="33"/>
              </w:numPr>
              <w:rPr>
                <w:b w:val="0"/>
              </w:rPr>
            </w:pPr>
            <w:r>
              <w:rPr>
                <w:b w:val="0"/>
              </w:rPr>
              <w:t xml:space="preserve">5А) Повишаване на ефективността при потреблението на вода в селското стопанство </w:t>
            </w:r>
          </w:p>
          <w:p>
            <w:pPr>
              <w:numPr>
                <w:numId w:val="3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3"/>
              </w:numPr>
              <w:rPr>
                <w:b w:val="0"/>
              </w:rPr>
            </w:pPr>
            <w:r>
              <w:rPr>
                <w:b w:val="0"/>
              </w:rPr>
              <w:t>5Г) Намаляване на емисиите на парникови газове и амоняк от селското стопанство</w:t>
            </w:r>
          </w:p>
          <w:p>
            <w:pPr>
              <w:numPr>
                <w:numId w:val="3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4"/>
              </w:numPr>
              <w:rPr>
                <w:b w:val="0"/>
              </w:rPr>
            </w:pPr>
            <w:r>
              <w:rPr>
                <w:b w:val="0"/>
              </w:rPr>
              <w:t>Околна среда</w:t>
            </w:r>
          </w:p>
          <w:p>
            <w:pPr>
              <w:numPr>
                <w:numId w:val="34"/>
              </w:numPr>
              <w:rPr>
                <w:b w:val="0"/>
              </w:rPr>
            </w:pPr>
            <w:r>
              <w:rPr>
                <w:b w:val="0"/>
              </w:rPr>
              <w:t>Смекчаване на последиците от изменението на климата и приспособяване към тях</w:t>
            </w:r>
          </w:p>
          <w:p>
            <w:pPr>
              <w:numPr>
                <w:numId w:val="3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6"/>
              </w:numPr>
              <w:rPr>
                <w:b w:val="0"/>
              </w:rPr>
            </w:pPr>
            <w:r>
              <w:rPr>
                <w:b w:val="0"/>
              </w:rPr>
              <w:t>Околна среда</w:t>
            </w:r>
          </w:p>
          <w:p>
            <w:pPr>
              <w:numPr>
                <w:numId w:val="36"/>
              </w:numPr>
              <w:rPr>
                <w:b w:val="0"/>
              </w:rPr>
            </w:pPr>
            <w:r>
              <w:rPr>
                <w:b w:val="0"/>
              </w:rPr>
              <w:t>Смекчаване на последиците от изменението на климата и приспособяване към тях</w:t>
            </w:r>
          </w:p>
          <w:p>
            <w:pPr>
              <w:numPr>
                <w:numId w:val="3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8"/>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9"/>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5"/>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2"/>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6"/>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0"/>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1"/>
              </w:numPr>
              <w:rPr>
                <w:b w:val="0"/>
              </w:rPr>
            </w:pPr>
            <w:r>
              <w:rPr>
                <w:b w:val="0"/>
              </w:rPr>
              <w:t>Околна среда</w:t>
            </w:r>
          </w:p>
          <w:p>
            <w:pPr>
              <w:numPr>
                <w:numId w:val="6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2"/>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3"/>
              </w:numPr>
              <w:rPr>
                <w:b w:val="0"/>
              </w:rPr>
            </w:pPr>
            <w:r>
              <w:rPr>
                <w:b w:val="0"/>
              </w:rPr>
              <w:t xml:space="preserve">4Б) Подобряване управлението на водите, включително управлението на торовете и пестицидите </w:t>
            </w:r>
          </w:p>
          <w:p>
            <w:pPr>
              <w:numPr>
                <w:numId w:val="63"/>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4"/>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5"/>
              </w:numPr>
              <w:rPr>
                <w:b w:val="0"/>
              </w:rPr>
            </w:pPr>
            <w:r>
              <w:rPr>
                <w:b w:val="0"/>
              </w:rPr>
              <w:t xml:space="preserve">4Б) Подобряване управлението на водите, включително управлението на торовете и пестицидите </w:t>
            </w:r>
          </w:p>
          <w:p>
            <w:pPr>
              <w:numPr>
                <w:numId w:val="65"/>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6"/>
              </w:numPr>
              <w:rPr>
                <w:b w:val="0"/>
              </w:rPr>
            </w:pPr>
            <w:r>
              <w:rPr>
                <w:b w:val="0"/>
              </w:rPr>
              <w:t>Околна среда</w:t>
            </w:r>
          </w:p>
          <w:p>
            <w:pPr>
              <w:numPr>
                <w:numId w:val="6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1"/>
              </w:numPr>
              <w:rPr>
                <w:b w:val="0"/>
              </w:rPr>
            </w:pPr>
            <w:r>
              <w:rPr>
                <w:b w:val="0"/>
              </w:rPr>
              <w:t>Околна среда</w:t>
            </w:r>
          </w:p>
          <w:p>
            <w:pPr>
              <w:numPr>
                <w:numId w:val="7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2"/>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3"/>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4"/>
              </w:numPr>
              <w:rPr>
                <w:b w:val="0"/>
              </w:rPr>
            </w:pPr>
            <w:r>
              <w:rPr>
                <w:b w:val="0"/>
              </w:rPr>
              <w:t>4В) Предотвратяване на ерозията на почвите и подобряване на управлението им</w:t>
            </w:r>
          </w:p>
          <w:p>
            <w:pPr>
              <w:numPr>
                <w:numId w:val="74"/>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5"/>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7"/>
              </w:numPr>
              <w:rPr>
                <w:b w:val="0"/>
              </w:rPr>
            </w:pPr>
            <w:r>
              <w:rPr>
                <w:b w:val="0"/>
              </w:rPr>
              <w:t>Околна среда</w:t>
            </w:r>
          </w:p>
          <w:p>
            <w:pPr>
              <w:numPr>
                <w:numId w:val="77"/>
              </w:numPr>
              <w:rPr>
                <w:b w:val="0"/>
              </w:rPr>
            </w:pPr>
            <w:r>
              <w:rPr>
                <w:b w:val="0"/>
              </w:rPr>
              <w:t>Смекчаване на последиците от изменението на климата и приспособяване към тях</w:t>
            </w:r>
          </w:p>
          <w:p>
            <w:pPr>
              <w:numPr>
                <w:numId w:val="7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0"/>
              </w:numPr>
              <w:rPr>
                <w:b w:val="0"/>
              </w:rPr>
            </w:pPr>
            <w:r>
              <w:rPr>
                <w:b w:val="0"/>
              </w:rPr>
              <w:t xml:space="preserve">5А) Повишаване на ефективността при потреблението на вода в селското стопанство </w:t>
            </w:r>
          </w:p>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2"/>
              </w:numPr>
              <w:rPr>
                <w:b w:val="0"/>
              </w:rPr>
            </w:pPr>
            <w:r>
              <w:rPr>
                <w:b w:val="0"/>
              </w:rPr>
              <w:t>1А) Стимулиране на иновациите, сътрудничеството и развитието на базата от знания в селските райони</w:t>
            </w:r>
          </w:p>
          <w:p>
            <w:pPr>
              <w:numPr>
                <w:numId w:val="8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3"/>
              </w:numPr>
              <w:rPr>
                <w:b w:val="0"/>
              </w:rPr>
            </w:pPr>
            <w:r>
              <w:rPr>
                <w:b w:val="0"/>
              </w:rPr>
              <w:t>Околна среда</w:t>
            </w:r>
          </w:p>
          <w:p>
            <w:pPr>
              <w:numPr>
                <w:numId w:val="8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4"/>
              </w:numPr>
              <w:rPr>
                <w:b w:val="0"/>
              </w:rPr>
            </w:pPr>
            <w:r>
              <w:rPr>
                <w:b w:val="0"/>
              </w:rPr>
              <w:t xml:space="preserve">6Б) Стимулиране на местното развитие в селските райони </w:t>
            </w:r>
          </w:p>
          <w:p>
            <w:pPr>
              <w:numPr>
                <w:numId w:val="84"/>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6"/>
              </w:numPr>
              <w:rPr>
                <w:b w:val="0"/>
              </w:rPr>
            </w:pPr>
            <w:r>
              <w:rPr>
                <w:b w:val="0"/>
              </w:rPr>
              <w:t>М01 — Трансфер на знания и действия за осведомяване (член 14)</w:t>
            </w:r>
          </w:p>
          <w:p>
            <w:pPr>
              <w:numPr>
                <w:numId w:val="86"/>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6"/>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7"/>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8"/>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9"/>
              </w:numPr>
              <w:rPr>
                <w:b w:val="0"/>
              </w:rPr>
            </w:pPr>
            <w:r>
              <w:rPr>
                <w:b w:val="0"/>
              </w:rPr>
              <w:t>М01 — Трансфер на знания и действия за осведомяване (член 14)</w:t>
            </w:r>
          </w:p>
          <w:p>
            <w:pPr>
              <w:numPr>
                <w:numId w:val="8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9"/>
              </w:numPr>
              <w:rPr>
                <w:b w:val="0"/>
              </w:rPr>
            </w:pPr>
            <w:r>
              <w:rPr>
                <w:b w:val="0"/>
              </w:rPr>
              <w:t>M04 — Инвестиции в материални активи (член 17)</w:t>
            </w:r>
          </w:p>
          <w:p>
            <w:pPr>
              <w:numPr>
                <w:numId w:val="89"/>
              </w:numPr>
              <w:rPr>
                <w:b w:val="0"/>
              </w:rPr>
            </w:pPr>
            <w:r>
              <w:rPr>
                <w:b w:val="0"/>
              </w:rPr>
              <w:t>M06 — Развитие на стопанства и предприятия (член 19)</w:t>
            </w:r>
          </w:p>
          <w:p>
            <w:pPr>
              <w:numPr>
                <w:numId w:val="89"/>
              </w:numPr>
              <w:rPr>
                <w:b w:val="0"/>
              </w:rPr>
            </w:pPr>
            <w:r>
              <w:rPr>
                <w:b w:val="0"/>
              </w:rPr>
              <w:t>M16 — Сътрудничество (член 35)</w:t>
            </w:r>
          </w:p>
          <w:p>
            <w:pPr>
              <w:numPr>
                <w:numId w:val="89"/>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89"/>
              </w:numPr>
              <w:rPr>
                <w:b w:val="0"/>
              </w:rPr>
            </w:pPr>
            <w:r>
              <w:rPr>
                <w:b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563 млн. евро публични разходи (15%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2000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105 млн. евро публични разходи, като по ПО 2А са програмирани почти 90% от тях. Основната част от средствата на подпрограмата са насочени към М06.3 – 80 млн.евро, като се цели подпомагане на около 4200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0"/>
              </w:numPr>
            </w:pPr>
            <w:r>
              <w:t>М01 — Трансфер на знания и действия за осведомяване (член 14)</w:t>
            </w:r>
          </w:p>
          <w:p>
            <w:pPr>
              <w:numPr>
                <w:numId w:val="90"/>
              </w:numPr>
            </w:pPr>
            <w:r>
              <w:t>М02 —  Консултантски услуги, услуги по управление на стопанство и услуги по заместване в стопанство (член 15)</w:t>
            </w:r>
          </w:p>
          <w:p>
            <w:pPr>
              <w:numPr>
                <w:numId w:val="90"/>
              </w:numPr>
            </w:pPr>
            <w:r>
              <w:t>M04 — Инвестиции в материални активи (член 17)</w:t>
            </w:r>
          </w:p>
          <w:p>
            <w:pPr>
              <w:numPr>
                <w:numId w:val="90"/>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178 млн. евро публични разходи (5 % от общия). Основната част от бюджета (95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1"/>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100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17.4 млн. евро публични разходи или 0.5%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2"/>
              </w:numPr>
              <w:rPr>
                <w:b w:val="0"/>
              </w:rPr>
            </w:pPr>
            <w:r>
              <w:rPr>
                <w:b w:val="0"/>
              </w:rPr>
              <w:t>М01 — Трансфер на знания и действия за осведомяване (член 14)</w:t>
            </w:r>
          </w:p>
          <w:p>
            <w:pPr>
              <w:numPr>
                <w:numId w:val="92"/>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2"/>
              </w:numPr>
              <w:rPr>
                <w:b w:val="0"/>
              </w:rPr>
            </w:pPr>
            <w:r>
              <w:rPr>
                <w:b w:val="0"/>
              </w:rPr>
              <w:t>M04 — Инвестиции в материални активи (член 17)</w:t>
            </w:r>
          </w:p>
          <w:p>
            <w:pPr>
              <w:numPr>
                <w:numId w:val="92"/>
              </w:numPr>
              <w:rPr>
                <w:b w:val="0"/>
              </w:rPr>
            </w:pPr>
            <w:r>
              <w:rPr>
                <w:b w:val="0"/>
              </w:rPr>
              <w:t>M06 — Развитие на стопанства и предприятия (член 19)</w:t>
            </w:r>
          </w:p>
          <w:p>
            <w:pPr>
              <w:numPr>
                <w:numId w:val="92"/>
              </w:numPr>
              <w:rPr>
                <w:b w:val="0"/>
              </w:rPr>
            </w:pPr>
            <w:r>
              <w:rPr>
                <w:b w:val="0"/>
              </w:rPr>
              <w:t>M09 — Създаване на групи и организации на производителите (член 27)</w:t>
            </w:r>
          </w:p>
          <w:p>
            <w:pPr>
              <w:numPr>
                <w:numId w:val="92"/>
              </w:numPr>
              <w:rPr>
                <w:b w:val="0"/>
              </w:rPr>
            </w:pPr>
            <w:r>
              <w:rPr>
                <w:b w:val="0"/>
              </w:rPr>
              <w:t>M14 — Хуманно отношение към животните (член 33)</w:t>
            </w:r>
          </w:p>
          <w:p>
            <w:pPr>
              <w:numPr>
                <w:numId w:val="92"/>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423 млн. евро или 11 %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над 330 проекта, като тя има бюджет от 390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22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3"/>
              </w:numPr>
            </w:pPr>
            <w:r>
              <w:t>М01 — Трансфер на знания и действия за осведомяване (член 14)</w:t>
            </w:r>
          </w:p>
          <w:p>
            <w:pPr>
              <w:numPr>
                <w:numId w:val="93"/>
              </w:numPr>
            </w:pPr>
            <w:r>
              <w:t>М02 —  Консултантски услуги, услуги по управление на стопанство и услуги по заместване в стопанство (член 15)</w:t>
            </w:r>
          </w:p>
          <w:p>
            <w:pPr>
              <w:numPr>
                <w:numId w:val="93"/>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29 млн. евро публични разходи или ~1% от общия. Към бюджета на ПО се отнасят 29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4"/>
              </w:numPr>
              <w:rPr>
                <w:b w:val="0"/>
              </w:rPr>
            </w:pPr>
            <w:r>
              <w:rPr>
                <w:b w:val="0"/>
              </w:rPr>
              <w:t>М01 — Трансфер на знания и действия за осведомяване (член 14)</w:t>
            </w:r>
          </w:p>
          <w:p>
            <w:pPr>
              <w:numPr>
                <w:numId w:val="94"/>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4"/>
              </w:numPr>
              <w:rPr>
                <w:b w:val="0"/>
              </w:rPr>
            </w:pPr>
            <w:r>
              <w:rPr>
                <w:b w:val="0"/>
              </w:rPr>
              <w:t>M04 — Инвестиции в материални активи (член 17)</w:t>
            </w:r>
          </w:p>
          <w:p>
            <w:pPr>
              <w:numPr>
                <w:numId w:val="94"/>
              </w:numPr>
              <w:rPr>
                <w:b w:val="0"/>
              </w:rPr>
            </w:pPr>
            <w:r>
              <w:rPr>
                <w:b w:val="0"/>
              </w:rPr>
              <w:t>M10 — Агроекология и климат (член 28)</w:t>
            </w:r>
          </w:p>
          <w:p>
            <w:pPr>
              <w:numPr>
                <w:numId w:val="94"/>
              </w:numPr>
              <w:rPr>
                <w:b w:val="0"/>
              </w:rPr>
            </w:pPr>
            <w:r>
              <w:rPr>
                <w:b w:val="0"/>
              </w:rPr>
              <w:t>М11 — Биологично земеделие (член 29)</w:t>
            </w:r>
          </w:p>
          <w:p>
            <w:pPr>
              <w:numPr>
                <w:numId w:val="94"/>
              </w:numPr>
              <w:rPr>
                <w:b w:val="0"/>
              </w:rPr>
            </w:pPr>
            <w:r>
              <w:rPr>
                <w:b w:val="0"/>
              </w:rPr>
              <w:t>M12 — Плащания по „Натура 2000“ и Рамковата директива за водите (член 30)</w:t>
            </w:r>
          </w:p>
          <w:p>
            <w:pPr>
              <w:numPr>
                <w:numId w:val="94"/>
              </w:numPr>
              <w:rPr>
                <w:b w:val="0"/>
              </w:rPr>
            </w:pPr>
            <w:r>
              <w:rPr>
                <w:b w:val="0"/>
              </w:rPr>
              <w:t>М13 — Плащания за райони, изправени пред природни или други специфични ограничения (член 31)</w:t>
            </w:r>
          </w:p>
          <w:p>
            <w:pPr>
              <w:numPr>
                <w:numId w:val="94"/>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5"/>
              </w:numPr>
              <w:rPr>
                <w:b w:val="0"/>
              </w:rPr>
            </w:pPr>
            <w:r>
              <w:rPr>
                <w:b w:val="0"/>
              </w:rPr>
              <w:t>М08 — Инвестиции в развитие на горските райони и подобряване на жизнеспособността на горите (членове 21 — 26)</w:t>
            </w:r>
          </w:p>
          <w:p>
            <w:pPr>
              <w:numPr>
                <w:numId w:val="95"/>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1112 млн. евро публични разходи или 329 % от общия бюджет на Програмата. В рамките на приоритета са избрани: 1) мерки – М01, М02 и М16, които имат бюджет 10 млн. евро; 2)  мерки– М10, М11, М12,М13, с бюджет 1029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56 млн. евро; 4) мерки за екосистемни услуги в горите, с бюджет 17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6"/>
              </w:numPr>
            </w:pPr>
            <w:r>
              <w:t>М01 — Трансфер на знания и действия за осведомяване (член 14)</w:t>
            </w:r>
          </w:p>
          <w:p>
            <w:pPr>
              <w:numPr>
                <w:numId w:val="96"/>
              </w:numPr>
            </w:pPr>
            <w:r>
              <w:t>М02 —  Консултантски услуги, услуги по управление на стопанство и услуги по заместване в стопанство (член 15)</w:t>
            </w:r>
          </w:p>
          <w:p>
            <w:pPr>
              <w:numPr>
                <w:numId w:val="96"/>
              </w:numPr>
            </w:pPr>
            <w:r>
              <w:t>M04 — Инвестиции в материални активи (член 17)</w:t>
            </w:r>
          </w:p>
          <w:p>
            <w:pPr>
              <w:numPr>
                <w:numId w:val="96"/>
              </w:numPr>
            </w:pPr>
            <w:r>
              <w:t>M10 — Агроекология и климат (член 28)</w:t>
            </w:r>
          </w:p>
          <w:p>
            <w:pPr>
              <w:numPr>
                <w:numId w:val="96"/>
              </w:numPr>
            </w:pPr>
            <w:r>
              <w:t>М11 — Биологично земеделие (член 29)</w:t>
            </w:r>
          </w:p>
          <w:p>
            <w:pPr>
              <w:numPr>
                <w:numId w:val="96"/>
              </w:numPr>
            </w:pPr>
            <w:r>
              <w:t>M12 — Плащания по „Натура 2000“ и Рамковата директива за водите (член 30)</w:t>
            </w:r>
          </w:p>
          <w:p>
            <w:pPr>
              <w:numPr>
                <w:numId w:val="96"/>
              </w:numPr>
            </w:pPr>
            <w:r>
              <w:t>М13 — Плащания за райони, изправени пред природни или други специфични ограничения (член 31)</w:t>
            </w:r>
          </w:p>
          <w:p>
            <w:pPr>
              <w:numPr>
                <w:numId w:val="96"/>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7"/>
              </w:numPr>
            </w:pPr>
            <w:r>
              <w:t>М08 — Инвестиции в развитие на горските райони и подобряване на жизнеспособността на горите (членове 21 — 26)</w:t>
            </w:r>
          </w:p>
          <w:p>
            <w:pPr>
              <w:numPr>
                <w:numId w:val="97"/>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p>
            <w:pPr>
              <w:numPr>
                <w:numId w:val="98"/>
              </w:numPr>
            </w:pPr>
            <w:r>
              <w:t>М02 —  Консултантски услуги, услуги по управление на стопанство и услуги по заместване в стопанство (член 15)</w:t>
            </w:r>
          </w:p>
          <w:p>
            <w:pPr>
              <w:numPr>
                <w:numId w:val="98"/>
              </w:numPr>
            </w:pPr>
            <w:r>
              <w:t>M04 — Инвестиции в материални активи (член 17)</w:t>
            </w:r>
          </w:p>
          <w:p>
            <w:pPr>
              <w:numPr>
                <w:numId w:val="98"/>
              </w:numPr>
            </w:pPr>
            <w:r>
              <w:t>M10 — Агроекология и климат (член 28)</w:t>
            </w:r>
          </w:p>
          <w:p>
            <w:pPr>
              <w:numPr>
                <w:numId w:val="98"/>
              </w:numPr>
            </w:pPr>
            <w:r>
              <w:t>М11 — Биологично земеделие (член 29)</w:t>
            </w:r>
          </w:p>
          <w:p>
            <w:pPr>
              <w:numPr>
                <w:numId w:val="98"/>
              </w:numPr>
            </w:pPr>
            <w:r>
              <w:t>M12 — Плащания по „Натура 2000“ и Рамковата директива за водите (член 30)</w:t>
            </w:r>
          </w:p>
          <w:p>
            <w:pPr>
              <w:numPr>
                <w:numId w:val="98"/>
              </w:numPr>
            </w:pPr>
            <w:r>
              <w:t>М13 — Плащания за райони, изправени пред природни или други специфични ограничения (член 31)</w:t>
            </w:r>
          </w:p>
          <w:p>
            <w:pPr>
              <w:numPr>
                <w:numId w:val="98"/>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9"/>
              </w:numPr>
            </w:pPr>
            <w:r>
              <w:t>М08 — Инвестиции в развитие на горските райони и подобряване на жизнеспособността на горите (членове 21 — 26)</w:t>
            </w:r>
          </w:p>
          <w:p>
            <w:pPr>
              <w:numPr>
                <w:numId w:val="99"/>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0"/>
              </w:numPr>
              <w:rPr>
                <w:b w:val="0"/>
              </w:rPr>
            </w:pPr>
            <w:r>
              <w:rPr>
                <w:b w:val="0"/>
              </w:rPr>
              <w:t>М01 — Трансфер на знания и действия за осведомяване (член 14)</w:t>
            </w:r>
          </w:p>
          <w:p>
            <w:pPr>
              <w:numPr>
                <w:numId w:val="100"/>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0"/>
              </w:numPr>
              <w:rPr>
                <w:b w:val="0"/>
              </w:rPr>
            </w:pPr>
            <w:r>
              <w:rPr>
                <w:b w:val="0"/>
              </w:rPr>
              <w:t>M04 — Инвестиции в материални активи (член 17)</w:t>
            </w:r>
          </w:p>
          <w:p>
            <w:pPr>
              <w:numPr>
                <w:numId w:val="100"/>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110 млн. евро публични разходи или 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165 млн.евро, или 4,4%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2"/>
              </w:numPr>
            </w:pPr>
            <w:r>
              <w:t>М01 — Трансфер на знания и действия за осведомяване (член 14)</w:t>
            </w:r>
          </w:p>
          <w:p>
            <w:pPr>
              <w:numPr>
                <w:numId w:val="102"/>
              </w:numPr>
            </w:pPr>
            <w:r>
              <w:t>М02 —  Консултантски услуги, услуги по управление на стопанство и услуги по заместване в стопанство (член 15)</w:t>
            </w:r>
          </w:p>
          <w:p>
            <w:pPr>
              <w:numPr>
                <w:numId w:val="102"/>
              </w:numPr>
            </w:pPr>
            <w:r>
              <w:t>M04 — Инвестиции в материални активи (член 17)</w:t>
            </w:r>
          </w:p>
          <w:p>
            <w:pPr>
              <w:numPr>
                <w:numId w:val="102"/>
              </w:numPr>
            </w:pPr>
            <w:r>
              <w:t>М07 — Основни услуги и обновяване на селата в селските райони (член 20)</w:t>
            </w:r>
          </w:p>
          <w:p>
            <w:pPr>
              <w:numPr>
                <w:numId w:val="10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76 млн.евро или 2 %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43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31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M04 — Инвестиции в материални активи (член 17)</w:t>
            </w:r>
          </w:p>
          <w:p>
            <w:pPr>
              <w:numPr>
                <w:numId w:val="103"/>
              </w:numPr>
            </w:pPr>
            <w:r>
              <w:t>M10 — Агроекология и климат (член 28)</w:t>
            </w:r>
          </w:p>
          <w:p>
            <w:pPr>
              <w:numPr>
                <w:numId w:val="10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44 млн.евро или 1,2%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4%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90 % от бюджета на ПО 5Г (40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4"/>
              </w:numPr>
            </w:pPr>
            <w:r>
              <w:t>М01 — Трансфер на знания и действия за осведомяване (член 14)</w:t>
            </w:r>
          </w:p>
          <w:p>
            <w:pPr>
              <w:numPr>
                <w:numId w:val="104"/>
              </w:numPr>
            </w:pPr>
            <w:r>
              <w:t>М02 —  Консултантски услуги, услуги по управление на стопанство и услуги по заместване в стопанство (член 15)</w:t>
            </w:r>
          </w:p>
          <w:p>
            <w:pPr>
              <w:numPr>
                <w:numId w:val="104"/>
              </w:numPr>
            </w:pPr>
            <w:r>
              <w:t>М08 — Инвестиции в развитие на горските райони и подобряване на жизнеспособността на горите (членове 21 — 26)</w:t>
            </w:r>
          </w:p>
          <w:p>
            <w:pPr>
              <w:numPr>
                <w:numId w:val="104"/>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5 млн. евро публични разходи, или 0,1 %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5"/>
              </w:numPr>
              <w:rPr>
                <w:b w:val="0"/>
              </w:rPr>
            </w:pPr>
            <w:r>
              <w:rPr>
                <w:b w:val="0"/>
              </w:rPr>
              <w:t>M06 — Развитие на стопанства и предприятия (член 19)</w:t>
            </w:r>
          </w:p>
          <w:p>
            <w:pPr>
              <w:numPr>
                <w:numId w:val="105"/>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105"/>
              </w:numPr>
              <w:rPr>
                <w:b w:val="0"/>
              </w:rPr>
            </w:pPr>
            <w:r>
              <w:rPr>
                <w:b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69 млн.евро публични разходи или 2 %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3500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6"/>
              </w:numPr>
            </w:pPr>
            <w:r>
              <w:t>М07 — Основни услуги и обновяване на селата в селските райони (член 20)</w:t>
            </w:r>
          </w:p>
          <w:p>
            <w:pPr>
              <w:numPr>
                <w:numId w:val="106"/>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931 млн. евро или 25 %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167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7"/>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42 млн. евро или 1,5%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29%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000" w:type="dxa"/>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tcW w:w="12000" w:type="dxa"/>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bottom"/>
          </w:tcPr>
          <w:p>
            <w:pPr>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1,27</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4 370,00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0,54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584 712 578,90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 M16,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181 672 220,90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100,00</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17 264 706,00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0,04</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405 364 535,90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17 411 557,50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1 095 202 341,00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16 791 949,40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tcW w:w="12000" w:type="dxa"/>
            <w:shd w:val="clear" w:color="auto" w:fill="FFFFFF"/>
            <w:noWrap w:val="0"/>
            <w:tcMar>
              <w:top w:w="20" w:type="dxa"/>
              <w:bottom w:w="20" w:type="dxa"/>
            </w:tcMar>
            <w:vAlign w:val="center"/>
          </w:tcPr>
          <w:p>
            <w:pPr>
              <w:spacing w:before="20" w:after="20"/>
              <w:jc w:val="lef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110 731 534,10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294 373 873,60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163 737 773,20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115 887 288,00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84 673 649,30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43 636 751,80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5 218 262,70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3 500,00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68 884 895,10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928 309 960,60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6B, 3A, 5B, 1B, 5A, 1C, 5C, 2A, 3B, 6C, 2B, 6A, 5D, 1A,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M06, M07, M11, M19, M01, M04, M15, M08, M13, M09, M14, M12, M02, M10</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6A, 2B, 5B, 5A, 6B, 2A, 5C, 5E, 1A, 3B, 6C, 1C, 1B, 3A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M10, M14, M09, M08, M06, M13, M01, M04, M19, M12, M16, M11, M07,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5B, 6B, 5D, 2B, 6C, 5A, 5C, 5E, 2A, 1C, 3B, 3A, 1A, 1B,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M04, M01, M10, M11, M08, M19, M13, M07, M14, M16, M09, M12, M15,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5A, 2A, 5C,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M08, M07, M02,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6C, 5A, 6A,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M07, M16, M04, M08, M06, M01, M15,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5C, 6B, 2A, 5A,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M02, M04, M19, M07, M16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1B, 6A, 5A, 5C, 6B, 5B, 3B, 6C, 3A, 5E, 1C, 1A, 2A, 5D, 2B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M04, M10, M08, M02, M01, M07, M19, M14, M06, M15, M09, M16, M11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8"/>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0"/>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1"/>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1"/>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2"/>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3"/>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3"/>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5"/>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6"/>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7"/>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7"/>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7"/>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8"/>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8"/>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2025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Корекция EURI (B)</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5 700,00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1 000,00</w:t>
            </w:r>
          </w:p>
        </w:tc>
        <w:tc>
          <w:tcPr>
            <w:tcW w:w="800" w:type="pct"/>
            <w:shd w:val="clear" w:color="auto" w:fill="FFFFFF"/>
            <w:noWrap w:val="0"/>
            <w:tcMar>
              <w:top w:w="20" w:type="dxa"/>
              <w:bottom w:w="20" w:type="dxa"/>
            </w:tcMar>
            <w:vAlign w:val="center"/>
          </w:tcPr>
          <w:p>
            <w:pPr>
              <w:jc w:val="right"/>
            </w:pPr>
            <w:r>
              <w:t>4 700,00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783 649 505,80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44 600 000,00</w:t>
            </w:r>
          </w:p>
        </w:tc>
        <w:tc>
          <w:tcPr>
            <w:tcW w:w="800" w:type="pct"/>
            <w:shd w:val="clear" w:color="auto" w:fill="FFFFFF"/>
            <w:noWrap w:val="0"/>
            <w:tcMar>
              <w:top w:w="20" w:type="dxa"/>
              <w:bottom w:w="20" w:type="dxa"/>
            </w:tcMar>
            <w:vAlign w:val="center"/>
          </w:tcPr>
          <w:p>
            <w:pPr>
              <w:jc w:val="right"/>
            </w:pPr>
            <w:r>
              <w:t>739 049 505,80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422 776 093,40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66 616 861,00</w:t>
            </w:r>
          </w:p>
        </w:tc>
        <w:tc>
          <w:tcPr>
            <w:tcW w:w="800" w:type="pct"/>
            <w:shd w:val="clear" w:color="auto" w:fill="FFFFFF"/>
            <w:noWrap w:val="0"/>
            <w:tcMar>
              <w:top w:w="20" w:type="dxa"/>
              <w:bottom w:w="20" w:type="dxa"/>
            </w:tcMar>
            <w:vAlign w:val="center"/>
          </w:tcPr>
          <w:p>
            <w:pPr>
              <w:jc w:val="right"/>
            </w:pPr>
            <w:r>
              <w:t>356 159 232,40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145,00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145,00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1 111 994 290,40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52 005 238,00</w:t>
            </w:r>
          </w:p>
        </w:tc>
        <w:tc>
          <w:tcPr>
            <w:tcW w:w="800" w:type="pct"/>
            <w:shd w:val="clear" w:color="auto" w:fill="FFFFFF"/>
            <w:noWrap w:val="0"/>
            <w:tcMar>
              <w:top w:w="20" w:type="dxa"/>
              <w:bottom w:w="20" w:type="dxa"/>
            </w:tcMar>
            <w:vAlign w:val="center"/>
          </w:tcPr>
          <w:p>
            <w:pPr>
              <w:jc w:val="right"/>
            </w:pPr>
            <w:r>
              <w:t>1 059 989 052,40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550 000,00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550 000,00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407 997 971,10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38 714 761,80</w:t>
            </w:r>
          </w:p>
        </w:tc>
        <w:tc>
          <w:tcPr>
            <w:tcW w:w="800" w:type="pct"/>
            <w:shd w:val="clear" w:color="auto" w:fill="FFFFFF"/>
            <w:noWrap w:val="0"/>
            <w:tcMar>
              <w:top w:w="20" w:type="dxa"/>
              <w:bottom w:w="20" w:type="dxa"/>
            </w:tcMar>
            <w:vAlign w:val="center"/>
          </w:tcPr>
          <w:p>
            <w:pPr>
              <w:jc w:val="right"/>
            </w:pPr>
            <w:r>
              <w:t>369 283 209,30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42 110,00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42 110,00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510,00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r>
              <w:t>440,00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997 194 855,70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997 194 855,70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1 000,00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2025 г. (а): </w:t>
      </w:r>
      <w:r>
        <w:t>5 700,00</w:t>
      </w:r>
    </w:p>
    <w:p>
      <w:r>
        <w:t xml:space="preserve">Корекции за допълнителни плащания (б): </w:t>
      </w:r>
    </w:p>
    <w:p>
      <w:r>
        <w:t xml:space="preserve">Корекция EURI (B): </w:t>
      </w:r>
      <w:r>
        <w:t>1 000,00</w:t>
      </w:r>
    </w:p>
    <w:p>
      <w:r>
        <w:t xml:space="preserve">Целева абсолютна стойност (A—Б—В): </w:t>
      </w:r>
      <w:r>
        <w:t>4 700,00</w:t>
      </w:r>
    </w:p>
    <w:p>
      <w:pPr>
        <w:pStyle w:val="Heading4"/>
        <w:jc w:val="left"/>
      </w:pPr>
      <w:r>
        <w:t>Общо публични разходи П2 (в евро)</w:t>
      </w:r>
    </w:p>
    <w:p>
      <w:r>
        <w:t xml:space="preserve">Applicable: </w:t>
      </w:r>
      <w:r>
        <w:t>Да</w:t>
      </w:r>
    </w:p>
    <w:p>
      <w:r>
        <w:t xml:space="preserve">Цел за 2025 г. (а): </w:t>
      </w:r>
      <w:r>
        <w:t>783 649 505,80</w:t>
      </w:r>
    </w:p>
    <w:p>
      <w:r>
        <w:t xml:space="preserve">Корекции за допълнителни плащания (б): </w:t>
      </w:r>
    </w:p>
    <w:p>
      <w:r>
        <w:t xml:space="preserve">Корекция EURI (B): </w:t>
      </w:r>
      <w:r>
        <w:t>44 600 000,00</w:t>
      </w:r>
    </w:p>
    <w:p>
      <w:r>
        <w:t xml:space="preserve">Целева абсолютна стойност (A—Б—В): </w:t>
      </w:r>
      <w:r>
        <w:t>739 049 505,80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2025 г. (а): </w:t>
      </w:r>
      <w:r>
        <w:t>422 776 093,40</w:t>
      </w:r>
    </w:p>
    <w:p>
      <w:r>
        <w:t xml:space="preserve">Корекции за допълнителни плащания (б): </w:t>
      </w:r>
    </w:p>
    <w:p>
      <w:r>
        <w:t xml:space="preserve">Корекция EURI (B): </w:t>
      </w:r>
      <w:r>
        <w:t>66 616 861,00</w:t>
      </w:r>
    </w:p>
    <w:p>
      <w:r>
        <w:t xml:space="preserve">Целева абсолютна стойност (A—Б—В): </w:t>
      </w:r>
      <w:r>
        <w:t>356 159 232,40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2025 г. (а): </w:t>
      </w:r>
      <w:r>
        <w:t>145,00</w:t>
      </w:r>
    </w:p>
    <w:p>
      <w:r>
        <w:t xml:space="preserve">Корекции за допълнителни плащания (б): </w:t>
      </w:r>
    </w:p>
    <w:p>
      <w:r>
        <w:t xml:space="preserve">Корекция EURI (B): </w:t>
      </w:r>
      <w:r>
        <w:t>0,00</w:t>
      </w:r>
    </w:p>
    <w:p>
      <w:r>
        <w:t xml:space="preserve">Целева абсолютна стойност (A—Б—В): </w:t>
      </w:r>
      <w:r>
        <w:t>145,00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2025 г. (а): </w:t>
      </w:r>
      <w:r>
        <w:t>60,00</w:t>
      </w:r>
    </w:p>
    <w:p>
      <w:r>
        <w:t xml:space="preserve">Корекции за допълнителни плащания (б): </w:t>
      </w:r>
    </w:p>
    <w:p>
      <w:r>
        <w:t xml:space="preserve">Корекция EURI (B): </w:t>
      </w:r>
      <w:r>
        <w:t>0,00</w:t>
      </w:r>
    </w:p>
    <w:p>
      <w:r>
        <w:t xml:space="preserve">Целева абсолютна стойност (A—Б—В): </w:t>
      </w:r>
      <w:r>
        <w:t>60,00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2025 г. (а): </w:t>
      </w:r>
      <w:r>
        <w:t>1 111 994 290,40</w:t>
      </w:r>
    </w:p>
    <w:p>
      <w:r>
        <w:t xml:space="preserve">Корекции за допълнителни плащания (б): </w:t>
      </w:r>
    </w:p>
    <w:p>
      <w:r>
        <w:t xml:space="preserve">Корекция EURI (B): </w:t>
      </w:r>
      <w:r>
        <w:t>52 005 238,00</w:t>
      </w:r>
    </w:p>
    <w:p>
      <w:r>
        <w:t xml:space="preserve">Целева абсолютна стойност (A—Б—В): </w:t>
      </w:r>
      <w:r>
        <w:t>1 059 989 052,40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2025 г. (а): </w:t>
      </w:r>
      <w:r>
        <w:t>550 000,00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550 000,00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2025 г. (а): </w:t>
      </w:r>
      <w:r>
        <w:t>407 997 971,10</w:t>
      </w:r>
    </w:p>
    <w:p>
      <w:r>
        <w:t xml:space="preserve">Корекции за допълнителни плащания (б): </w:t>
      </w:r>
    </w:p>
    <w:p>
      <w:r>
        <w:t xml:space="preserve">Корекция EURI (B): </w:t>
      </w:r>
      <w:r>
        <w:t>38 714 761,80</w:t>
      </w:r>
    </w:p>
    <w:p>
      <w:r>
        <w:t xml:space="preserve">Целева абсолютна стойност (A—Б—В): </w:t>
      </w:r>
      <w:r>
        <w:t>369 283 209,30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2025 г. (а): </w:t>
      </w:r>
      <w:r>
        <w:t>42 110,00</w:t>
      </w:r>
    </w:p>
    <w:p>
      <w:r>
        <w:t xml:space="preserve">Корекции за допълнителни плащания (б): </w:t>
      </w:r>
    </w:p>
    <w:p>
      <w:r>
        <w:t xml:space="preserve">Корекция EURI (B): </w:t>
      </w:r>
      <w:r>
        <w:t>0,00</w:t>
      </w:r>
    </w:p>
    <w:p>
      <w:r>
        <w:t xml:space="preserve">Целева абсолютна стойност (A—Б—В): </w:t>
      </w:r>
      <w:r>
        <w:t>42 110,00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2025 г. (а): </w:t>
      </w:r>
      <w:r>
        <w:t>510,00</w:t>
      </w:r>
    </w:p>
    <w:p>
      <w:r>
        <w:t xml:space="preserve">Корекции за допълнителни плащания (б): </w:t>
      </w:r>
    </w:p>
    <w:p>
      <w:r>
        <w:t xml:space="preserve">Корекция EURI (B): </w:t>
      </w:r>
      <w:r>
        <w:t>70,00</w:t>
      </w:r>
    </w:p>
    <w:p>
      <w:r>
        <w:t xml:space="preserve">Целева абсолютна стойност (A—Б—В): </w:t>
      </w:r>
      <w:r>
        <w:t>440,00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2025 г. (а): </w:t>
      </w:r>
      <w:r>
        <w:t>997 194 855,70</w:t>
      </w:r>
    </w:p>
    <w:p>
      <w:r>
        <w:t xml:space="preserve">Корекции за допълнителни плащания (б): </w:t>
      </w:r>
    </w:p>
    <w:p>
      <w:r>
        <w:t xml:space="preserve">Корекция EURI (B): </w:t>
      </w:r>
      <w:r>
        <w:t>0,00</w:t>
      </w:r>
    </w:p>
    <w:p>
      <w:r>
        <w:t xml:space="preserve">Целева абсолютна стойност (A—Б—В): </w:t>
      </w:r>
      <w:r>
        <w:t>997 194 855,70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2025 г. (а): </w:t>
      </w:r>
      <w:r>
        <w:t>1 000,00</w:t>
      </w:r>
    </w:p>
    <w:p>
      <w:r>
        <w:t xml:space="preserve">Корекции за допълнителни плащания (б): </w:t>
      </w:r>
    </w:p>
    <w:p>
      <w:r>
        <w:t xml:space="preserve">Корекция EURI (B): </w:t>
      </w:r>
      <w:r>
        <w:t>0,00</w:t>
      </w:r>
    </w:p>
    <w:p>
      <w:r>
        <w:t xml:space="preserve">Целева абсолютна стойност (A—Б—В): </w:t>
      </w:r>
      <w:r>
        <w:t>1 000,00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2025 г. (а): </w:t>
      </w:r>
      <w:r>
        <w:t>1 370 000,00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2025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Корекция EURI (B)</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330,00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2025 г. (а): </w:t>
      </w:r>
      <w:r>
        <w:t>330,00</w:t>
      </w:r>
    </w:p>
    <w:p>
      <w:r>
        <w:t xml:space="preserve">Корекции за допълнителни плащания (б): </w:t>
      </w:r>
    </w:p>
    <w:p>
      <w:r>
        <w:t xml:space="preserve">Корекция EURI (B): </w:t>
      </w:r>
    </w:p>
    <w:p>
      <w:r>
        <w:t xml:space="preserve">Целева абсолютна стойност (A—Б—В): </w:t>
      </w:r>
      <w:r>
        <w:t>330,00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28"/>
        <w:gridCol w:w="71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Инсталациите за производство на енергия от ВЕИ трябва да са в съответствие с условията за устойчивост в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проектни предложения по инвестиционните мерки от Програмата, за които е приложимо, е допустимо провеждане на процедура за избор на изпълнител в съответствие с приложимото национално законодателство (ПМС №160) след подаване на проектното предложение и преди сключване на административeн договор.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2025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2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43"/>
              <w:gridCol w:w="1870"/>
              <w:gridCol w:w="1906"/>
              <w:gridCol w:w="1972"/>
            </w:tblGrid>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5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1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10" w:type="dxa"/>
                  <w:noWrap w:val="0"/>
                  <w:tcMar>
                    <w:top w:w="20" w:type="dxa"/>
                    <w:left w:w="20" w:type="dxa"/>
                    <w:bottom w:w="20" w:type="dxa"/>
                    <w:right w:w="20" w:type="dxa"/>
                  </w:tcMar>
                  <w:vAlign w:val="bottom"/>
                  <w:hideMark/>
                </w:tcPr>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2"/>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10" w:type="dxa"/>
                  <w:noWrap w:val="0"/>
                  <w:tcMar>
                    <w:top w:w="20" w:type="dxa"/>
                    <w:left w:w="20" w:type="dxa"/>
                    <w:bottom w:w="20" w:type="dxa"/>
                    <w:right w:w="20" w:type="dxa"/>
                  </w:tcMar>
                  <w:vAlign w:val="top"/>
                  <w:hideMark/>
                </w:tcPr>
                <w:p>
                  <w:pPr>
                    <w:numPr>
                      <w:ilvl w:val="0"/>
                      <w:numId w:val="123"/>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3"/>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3"/>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4"/>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4"/>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1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6"/>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6"/>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Индексация на разходите по вече изпълнени и/или предстоящи за изпълнение дейности, за които няма настъпило окончателно плащане от страна на ДФ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От началото на 2021 г. се намираме в ситуация на прогресираща инфлация в цените на производител в целия промишлен комплекс. Към 31.12.2021 г. общият индекс на цените на производител в промишлеността (Евростат код B_TO_E36) бележи ръст от 33.7 пункта спрямо стойностите към 31.12.2020 г. (от 109.4 на 143.1), което свидетелства за инфлация от 30.78 %. В средногодишен план инфлацията в промишлеността през 2021 г. спрямо 2020 г. е 16.36 %.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Прогресиращата промишлена инфлация през 2021 г. е в световен мащаб, и е обусловено от резкия дисбаланс между търсене и предлагане на основни промишлени суровини и стоки (метали, дървесина, петрол и рафинирани нефтопродукти, природен газ и енергийни суровини) в периода на възстановяване на световната икономика от последствията на глобалната пандемия от COVID-SARS-2. В началото на 2022 г. инфлационните процеси се катализират и вследствие на нарушените канали за доставки във връзка с военния конфликт между Руската федерация и Украйна. Гореописаните процеси доведоха и до рязък скок в цените на редица основни строителни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Показателите на индекса на цени на производител на вътрешния пазар на строителни материали демонстрират, че в периода 2020 – 2021 г. годишната инфлация в производствените цени на строителните продукти варира в границата между 1 % и 2 %. Считано от началото на 2021 г. се наблюдава рязко възходящ инфлационен процес, особено отчетлив през второто полугодие, като към края на годината изменението на показателя е с 20.1 пункта спрямо края на предходната година, свидетелстващо за инфлация от 20.15 %. В средногодишен план инфлацията в цените на строителните материали на вътрешния пазар през 2021 г. спрямо 2020 г. е 11.65 %.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Гореописаните обстоятелства наложиха предприемането на методически и регулаторни мерки за преодоляване на последиците от прогресивната инфлация в цените на строителната продукция, доставки и услуги с оглед обезпечаване изпълнението и завършването на възложените строително-монтажни работи.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ПРСР предвижда да анализира подкрепата на инфлационния риск чрез обективна и справедлива индексация на стойността на изпълнени и предстоящи за изпълнение дейности, чрез преценка на нуждата от индексиране на ниво бенефициент, чрез използване на методика за индексиране на разходите, за които се предоставя подпомагане по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определяне на максимален процент на индексация за проекти с вече одобрени за подпомагане разходи по ПРСР ще бъде извършвана съпоставка по отношение на наличните остатъчни средства от прилаганите мерки и подмерки по ПРСР за периода 2014-2020, спрямо общия размер на ангажирания бюджет по сключени договор за предоставяне на безвъзмездна финансова помощ, по които не са разплатени средства от страна на Разплащателна агенция.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 определянето и прилагане на максимален процент за индексация, ще бъде осигурена равнопоставеност за всички бенефициенти в затруднено положение по отношение изпълнението на одобрените за подпомагане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Чрез използването на утвърдена методика за индексиране на разходите, ще се гарантира индивидуално изчислен за всеки проект процент на индексация, съобразно вида на одобрените разходи, периодът на тяхното извършване и др. показатели.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8"/>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2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0"/>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 В обосновани случаи, демонстрационните дейности могат да се извършват и на места, различни от демонстрационни обекти, при условие, че се гарантира, че демонстрацията ще се предоставя в реални практически условия на целевите групи – крайни получатели, а именно земеделски и горски стопани и заетите лица в техните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По подмярката е допустимо и участието на партньори, вкл. юридически лица с нестопанска цел в сферата на селското стопанство. Партньорите по проекта са заинтересовани от неговото изпълнение, които не разходват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350 000 евро за демонстрации, насочени към земеделски стопани и 100 000 евро за демонстрации, насочени към горски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3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2"/>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предоставяне на пакет А2Б на кандидатите по подмярка 6.1.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4"/>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6"/>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 и прилагане на единна ставка, определена чрез прилагане на процент към една или няколко определени категории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 както и разходи за задължителни по българското законодателство застраховки на автомобилите и за застраховка пълно „Каско“, както и разходи за застраховка на останалите дълготрайните материални активи, предмет на подпомагане за рисковете, посочени в насоките за кандидатстване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съответстващи на актуални статистически данни на НСИ и командировъчни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 или единна ставка за оперативни разходи, свързани с функционирането на мобилните центрове;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въз основа на които се предоставят консултантски услуги по мярката и се определя икономическия размер на земеделските стопанства, са в съответствие с актуалните данни по отношение на стандартната продукция (стандартен производствен обем)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7"/>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андидатите за подпомагане подали проектно предложение след 01.01.2021 г. следва да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 с изключение на кандидати групи или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 За кандидати групи или организации на производители условието по т. 2 не се прилага индивидуално за членовете, а се счита за изпълнено, ако общият стандартен производствен обем, формиран като сбор от стандартните производствени обеми на земеделските стопанства на членовете на групата или организацията, отнесен към броя на земеделските стопани, членове на групата или организацията, е не по-малко от левовата равностойност на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Инсталациите за производство на енергия от ВЕИ трябва да са в съответствие с условията за устойчивост в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w:t>
            </w:r>
            <w:r>
              <w:rPr>
                <w:rFonts w:ascii="Times New Roman" w:eastAsia="Times New Roman" w:hAnsi="Times New Roman" w:cs="Times New Roman"/>
                <w:szCs w:val="24"/>
                <w:u w:val="single"/>
              </w:rPr>
              <w:t> включително инвестиции и дейности, които допринасят за устойчивото и цифрово икономическо възстановяване. </w:t>
            </w:r>
            <w:r>
              <w:rPr>
                <w:rFonts w:ascii="Times New Roman" w:eastAsia="Times New Roman" w:hAnsi="Times New Roman" w:cs="Times New Roman"/>
                <w:szCs w:val="24"/>
              </w:rPr>
              <w:t>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стопанството технологии, като -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 включително подходи приложени чрез Европейското партньорство за иновации (например: инвестиции за ефективно използване на ресурсите, включително прецизно и интелигентно земеделие, иновации и цифровизация и модернизация на производствените машини и оборудване).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1 000 000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50 %.</w:t>
            </w:r>
          </w:p>
          <w:p>
            <w:pPr>
              <w:numPr>
                <w:ilvl w:val="0"/>
                <w:numId w:val="1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1 000 001 евро до 1 500 000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35 %.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1 500 000 евро, като максималният размер на допустимите разходи за един проект не може да надхвърля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инвестиции в земеделска техника за един кандидат за периоди на прием проведени след 01.01.2021 г. е в рамките на 250 000 евро. Разходите за земеделска техника не се считат за инвестиции в обхвата на дейностите по Next Generation във връзка с предоставянето на по-висок интензитет на финансова помощ</w:t>
            </w:r>
            <w:r>
              <w:rPr>
                <w:rFonts w:ascii="Times New Roman" w:eastAsia="Times New Roman" w:hAnsi="Times New Roman" w:cs="Times New Roman"/>
                <w:szCs w:val="24"/>
                <w:u w:val="single"/>
              </w:rPr>
              <w:t>.</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7"/>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50"/>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за подпомагане, подали проектно предложение след 01.01.2021 г. следва да са извършвали дейности по преработка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а кандидати земеделски стопани, подали проектно предложение след 01.01.2021 г. условието се счита за изпълнено, ако същите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 групи или организации на производители подали проектно предложение след 01.01.2021 г. условието се счита за изпълнено ако същите са извършвали дейност от най-малко 36 месеца към датата на подаване на проектното предложение;</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Инсталациите за производство на енергия от ВЕИ трябва да са в съответствие с условията за устойчивост в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w:t>
            </w:r>
            <w:r>
              <w:rPr>
                <w:rFonts w:ascii="Times New Roman" w:eastAsia="Times New Roman" w:hAnsi="Times New Roman" w:cs="Times New Roman"/>
                <w:szCs w:val="24"/>
                <w:u w:val="single"/>
              </w:rPr>
              <w:t>включително инвестиции и дейности, които допринасят за устойчивото и цифрово икономическо възстановяване.</w:t>
            </w:r>
            <w:r>
              <w:rPr>
                <w:rFonts w:ascii="Times New Roman" w:eastAsia="Times New Roman" w:hAnsi="Times New Roman" w:cs="Times New Roman"/>
                <w:szCs w:val="24"/>
              </w:rPr>
              <w:t>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предприятието технологии, като - иновативни технологии, автоматизиране на производствените и оргонизационни процеси, включително подходи приложени чрез Европейското партньорство за иновации.</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2 000 000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50 %.</w:t>
            </w:r>
          </w:p>
          <w:p>
            <w:pPr>
              <w:numPr>
                <w:ilvl w:val="0"/>
                <w:numId w:val="1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2 000 001 евро до 3 000 000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35 %.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3 000 000 евро, като максималният размер на допустимите разходи за един проект не може да надхвърля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 След резките промени в икономическа обстановка, в резултат на COVID 19  и руската инвазия в Украйна, съществува риск за поддържане съответствието с критериите за подбор, за които е получен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6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7.4. Актуализиране на изискванията за поддържане съответствие с критериите за подбор след одобрение на проекта спрямо динамичната икономическа обстановка, водеща до постоянно променящи се пазарни условия, които оказват негативен ефект върху устойчивостта на инвестициите;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5"/>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70"/>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72"/>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72"/>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7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7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7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42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75"/>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75"/>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7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8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8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8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8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за избор на изпълнители по подмярка 4.1 и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 за избор на изпълнител по реда на Постановление № 160 от 1 юли 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се провежда от кандидати/бенефициенти, които не са възложители по смисъла на Закона обществените поръчки, в случаите, когато размерът на предоставената (одобрената) безвъзмездна финансова помощ е по-голям от 50 на сто от общата сума на одобрения проект, както и за специфични разходи, описани в националните правила за прилагане на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85"/>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от </w:t>
            </w:r>
            <w:r>
              <w:rPr>
                <w:rFonts w:ascii="Times New Roman" w:eastAsia="Times New Roman" w:hAnsi="Times New Roman" w:cs="Times New Roman"/>
                <w:szCs w:val="24"/>
                <w:u w:val="single"/>
              </w:rPr>
              <w:t>опасни метеорологични явления - градушки.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420"/>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органи -</w:t>
            </w:r>
            <w:r>
              <w:rPr>
                <w:rFonts w:ascii="Times New Roman" w:eastAsia="Times New Roman" w:hAnsi="Times New Roman" w:cs="Times New Roman"/>
                <w:szCs w:val="24"/>
              </w:rPr>
              <w:t> </w:t>
            </w:r>
            <w:r>
              <w:rPr>
                <w:rFonts w:ascii="Times New Roman" w:eastAsia="Times New Roman" w:hAnsi="Times New Roman" w:cs="Times New Roman"/>
                <w:b/>
                <w:bCs/>
                <w:szCs w:val="24"/>
              </w:rPr>
              <w:t>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радарни станции, вкл. оборудване за анализ и съхранение на бази данни;</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специализирани транспортни средства за превоз на противоградна техника и специфични товари;</w:t>
            </w:r>
          </w:p>
          <w:p>
            <w:pPr>
              <w:numPr>
                <w:ilvl w:val="0"/>
                <w:numId w:val="1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 за монтаж и въвеждане в експлоатация на радарни станции.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9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противоградна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 – Регистрирани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9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или закупуване на съоръжения или системи за повишаване безопасността при съхранение на фуражи;</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9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9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1 500 000 евро за кандидати с животновъдни стопанства, отглеждащи свине;</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1 000 000 евро за кандидати с животновъдни стопанства, отглеждащи птици;</w:t>
            </w:r>
          </w:p>
          <w:p>
            <w:pPr>
              <w:numPr>
                <w:ilvl w:val="0"/>
                <w:numId w:val="1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птици, максимална стойност на допустимите разходите за един животновъден обект е в размер до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96"/>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9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2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2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2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02"/>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Когато кандидати/бенефициенти – жени, ползват отпуск и обезщетение при бременност, раждане и отглеждане на дете до 2 години, е допустимо назначаването на втори ръководител.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Вторият ръководител на земеделското стопанство трябва да е лице на възраст между 18 и не повече от 40 навършени години (включително) и притежава съответни професионални умения и компетентности.</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1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13"/>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трябва да са получили минимум 33 % от общия доход за преходната година от земеделски дейности, като това изискване не се прилага за проектни предложения, подадени след 01.01.2021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емеделското стопанство е разположено на територията на необлагодетелствани райони с природни и други ограничения, съгласно наредбата за определяне на критериите за необлагодетелстваните райони и териториалния им обхват (приета с ПМС №30 ОТ 15.02.2008 г.; ДВ, бр. 20 от 2008 г.) и/или места по Натура 2000;</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numPr>
                <w:ilvl w:val="0"/>
                <w:numId w:val="2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1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1"/>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малките и средните предприятия:</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в секторите, посочени в </w:t>
            </w:r>
            <w:r>
              <w:rPr>
                <w:rFonts w:ascii="Times New Roman" w:eastAsia="Times New Roman" w:hAnsi="Times New Roman" w:cs="Times New Roman"/>
                <w:b/>
                <w:bCs/>
                <w:szCs w:val="24"/>
              </w:rPr>
              <w:t>Раздел</w:t>
            </w:r>
            <w:r>
              <w:rPr>
                <w:rFonts w:ascii="Times New Roman" w:eastAsia="Times New Roman" w:hAnsi="Times New Roman" w:cs="Times New Roman"/>
                <w:b/>
                <w:bCs/>
                <w:szCs w:val="24"/>
              </w:rPr>
              <w:t xml:space="preserve"> „Национални и регионални приоритетни сектори“</w:t>
            </w:r>
            <w:r>
              <w:rPr>
                <w:rFonts w:ascii="Times New Roman" w:eastAsia="Times New Roman" w:hAnsi="Times New Roman" w:cs="Times New Roman"/>
                <w:szCs w:val="24"/>
              </w:rPr>
              <w:t xml:space="preserve">  от Националната стратегия за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9"/>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36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във връзка с чл. 2, параграфи 1 и 2 от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 Определеният таван от 10 000 000 евро не се прилага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постигане на допълняемост и координация с всички оперативни програми участващи в подхода ИТИ, по ПРСР ще се подпомагат проекти, представляващи част от концепция за ИТИ, на територията на общини, в които няма населено място с население над 15 000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Новата национална дефиниция определя като „селски райони” общините, в които няма населено място с население над 15 000 души, в която попадат 215 от всички 265 общини на територията на страната. Всички дейности за малка по мащаби инфраструктура през периода на удължаване на срока на програмата ще са допустими единствено на територията на селските райони, определени по новата национална дефиниция.</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39"/>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могат да се изпълняват и чрез прилагането на инструмент „Интегрирани териториални инвестиции“ (ИТИ), след вземане на национално решение и в съответствие с чл. 36 от Регламент (ЕС) № 1303/2013 във връзка с чл. 2, параграфи 1 и 2 от Регламент (ЕС) 2020/2220. Мерките, които ще бъдат подкрепени през инструмента ИТИ, следва да бъдат в съответствие с предварително идентифицираните цели и приоритети за развитие в съответните интегрирани териториални стратегии за развитие на регионите за планиране от ниво 2 (подход „отдолу-нагоре“), както и с картирането на нуждите от инвестиции в съответните сектори, изготвено на национално ниво от отговорните за политиката ведомства (подход „отгоре-надолу“). В рамките на изпълнението на интегрирания териториален подход ще бъде подкрепено изпълнението на концепции за ИТИ, представляващи набор от взаимосвързани и допълващи се (интегрирани) проектни идеи, насочени към територии с общи характеристики и/или потенциал за развитие и включващи най-подходящата комбинация от ресурси и мерки, които да бъдат използвани за постигане на конкретна цел или приоритет на местно ниво. Концепциите за ИТИ следва да бъдат изпълнявани от партньорства, включващи широк кръг заинтересовани страни и участници в социално-икономическия живот на конкретната територия. Източниците за финансиране на отделните проекти, включени в концепциите за ИТИ, са разнообразни и включват програми, съфинансирани от ЕФРР, ЕСФ+, КФ, СПРЗСР, финансови инструменти, държавен и общински бюджет, собствени средства и др., като изпълнение на отделните проекти следва да бъде осъществявано по координиран начин.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Общини в селските райони за проекти представляващи част от концепция за ИТИ.</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периода от въвеждане в експлоатация на инвестицията по сключения административен договор до края на мониторинговия период.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 Изискването не се прилага за проекти представляващи част от концепция за ИТИ.Изискването не се прилага и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допустими са само проекти, които са част от концепция за ИТИ, включена в окончателния списък с одобрени концепции от Регионалните съвети за развитие (РСР).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пътища;</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насочени към производство на енергия за собствено потребление от възобновяеми енергийни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изискването на чл. 49, параграф 1 от Регламент (ЕС) № 1303/2013 за подбор на операции, ще се прилага чрез подбор на концепции за ИТИ от Регионалните съвети за развитие.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максимални стойности на допустимите разходи за един обект не се прилагат по отношение на стойността, с която са индексирани вече одобрени за подпомагане разходи по договори с бенефициенти, съгласно приетата методика за изменение на цената на договор за обществена поръчка при инфлация.</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3"/>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7"/>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Посочените максимални стойности на допустимите разходи за един обект не се прилагат по отношение на стойността, с която са индексирани вече одобрени за подпомагане разходи по договори с бенефициенти, съгласно приетата методика за изменение на цената на договор за обществена поръчка при инфлация.</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64"/>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67"/>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74"/>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7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8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85"/>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9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9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97"/>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30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1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 като поетите ангажименти през 2021 г. се изпълняват за срок от една година. От 2022 година ангажименти,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2022г. са с продължителност 3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площи от ангажимента на земеделски стопанин бъдат изключени от обхвата на мярката, поради влезли в сила заповеди за обявяване на зони по Натура 2000,  ангажимента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стопанин може да продължи да изпълнява дейности по направлението само с площи от ангажимента, които не са изключени от обхвата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паша - 126,80 Евро/ха. За заявените за подпомагане площи през  2021 г. и след нея.  - 134,09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-113,51 евро /ха. За заявените за подпомагане площи през 2021 г. и след нея  – 125,78 Евро/ха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2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3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за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2022 година новите ангажименти и тези,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поетият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Превръщане на обработваеми земеделски земи в постоянно затревени площи, чрез използване на многогодишни тревни смески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мероприятия в лозя и трайни насаждения -</w:t>
            </w:r>
          </w:p>
          <w:p>
            <w:pPr>
              <w:numPr>
                <w:ilvl w:val="0"/>
                <w:numId w:val="338"/>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 - поддържане на нисък тревостой на междуредовото затревяване и вътрешноредово окопаване на насажденията;</w:t>
            </w:r>
          </w:p>
          <w:p>
            <w:pPr>
              <w:numPr>
                <w:ilvl w:val="0"/>
                <w:numId w:val="338"/>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 - дължината на браздите е 5-10 м, като се прекъсват през 5 м. Разполагат се перпендикулярно на наклона и шахматно по склона в редовете. Браздите се прокопават три пъти годишно.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мероприятие в обработваеми земи:</w:t>
            </w:r>
          </w:p>
          <w:p>
            <w:pPr>
              <w:numPr>
                <w:ilvl w:val="0"/>
                <w:numId w:val="339"/>
              </w:numPr>
              <w:spacing w:before="24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с медоносна тревна растителност – ширината на ивиците е от поне  4м. Прокарват се  напречно на склона в зависимост от наклона на терена, почвения тип и други фактори. В зависимост от разстоянието между тях и ширината им те заемат поне 15 % от обработваемата площ на парцел.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окопни със слята повърхност култури перпендикулярно на склона - поясите, широки 30-100 м, с редуващи се окопни и слятопокровни култури, се  разполагат перпендикулярно (напречно) на склона (по контура).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предоставят план за противоерозионни дейности, изготвен от дипломиран агроном и документ при закупуване на тревните смески и семена на медоносни растения.</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 За заявените за подпомагане площи през  2021 г. и след нея -157,48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 За заявените за подпомагане площи през  2021 г. и след нея – 128,85 евро/ха;</w:t>
            </w:r>
          </w:p>
          <w:p>
            <w:pPr>
              <w:numPr>
                <w:ilvl w:val="0"/>
                <w:numId w:val="3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 За заявените за подпомагане площи през  2021 г. и след нея създаване и поддържане на буферни ивици с медоносна тревна растителност - 63,82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за поясно редуване на културите – 38,2 евро/ха. За заявените за подпомагане площи през  2021 г. – 91,88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4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w:t>
            </w:r>
            <w:r>
              <w:rPr>
                <w:rFonts w:ascii="Times New Roman" w:eastAsia="Times New Roman" w:hAnsi="Times New Roman" w:cs="Times New Roman"/>
                <w:szCs w:val="24"/>
                <w:u w:val="single"/>
              </w:rPr>
              <w:t xml:space="preserve"> </w:t>
            </w:r>
            <w:r>
              <w:rPr>
                <w:rFonts w:ascii="Times New Roman" w:eastAsia="Times New Roman" w:hAnsi="Times New Roman" w:cs="Times New Roman"/>
                <w:szCs w:val="24"/>
              </w:rPr>
              <w:t>не по-късно от 2022г.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Ангажиментите от 2022 година са с продължителност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едни и същи земеделски парцели по направлението и по мярка 12 „Плащания по Натура 2000 и Рамковата директива за водите“ от Програмата за развитие на селските райони за периода 2014 - 2020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 като земеделските стопани не извеждат по–голям брой животни от определените в разрешителните за паша.</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и природните паркове.</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Животните се придружавани от пастир (гледач), ако не се придружават от земеделския стопанин.</w:t>
            </w:r>
          </w:p>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придружаващите стадото кучета се поставя спъвачка.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замърсяване на водите и терените с битови, промишлени и други отпадъци;  бивакуване и палене на огън извън определените места; намеса в биологичното разнообразие.( Чл. 21 от Закона за защитените територии, т. 4, 6, 9, 12, 13, 14).</w:t>
            </w:r>
          </w:p>
          <w:p>
            <w:pPr>
              <w:numPr>
                <w:ilvl w:val="0"/>
                <w:numId w:val="3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резерватите се забраняват всякакви дейности, с изключение на посочените в чл. 17 от Закона за защитените територии.</w:t>
            </w:r>
          </w:p>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природните паркове се спазват забраните предвидени в чл. 31 от Закона за защитените територии, както и забраните предвидени в чл. 21, ал. 1, когато са приети с плановете за управление.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ежегодно удължаване на срока не по-късно от 2022 г. Поети ангажименти през 2021 се изпълняват за срок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едър рогат добитък и биволи - 200 евро/животинска единица (ЖЕ). </w:t>
            </w:r>
            <w:r>
              <w:rPr>
                <w:rFonts w:ascii="Times New Roman" w:eastAsia="Times New Roman" w:hAnsi="Times New Roman" w:cs="Times New Roman"/>
                <w:b/>
                <w:bCs/>
                <w:szCs w:val="24"/>
              </w:rPr>
              <w:t>За заявените след 01.01.2022 г.</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 212,21 евро/животинска единица (ЖЕ);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овце и кози – 145 евро/ЖЕ; </w:t>
            </w:r>
            <w:r>
              <w:rPr>
                <w:rFonts w:ascii="Times New Roman" w:eastAsia="Times New Roman" w:hAnsi="Times New Roman" w:cs="Times New Roman"/>
                <w:b/>
                <w:bCs/>
                <w:szCs w:val="24"/>
              </w:rPr>
              <w:t>За заявените след 01.01.2022 г - 150,32 евро/ЖЕ;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свине - 122 евро/ЖЕ; </w:t>
            </w:r>
            <w:r>
              <w:rPr>
                <w:rFonts w:ascii="Times New Roman" w:eastAsia="Times New Roman" w:hAnsi="Times New Roman" w:cs="Times New Roman"/>
                <w:b/>
                <w:bCs/>
                <w:szCs w:val="24"/>
              </w:rPr>
              <w:t>За заявените след 01.01.2022 г .- 126 евро/ЖЕ;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коне – 143 евро/ЖЕ; </w:t>
            </w:r>
            <w:r>
              <w:rPr>
                <w:rFonts w:ascii="Times New Roman" w:eastAsia="Times New Roman" w:hAnsi="Times New Roman" w:cs="Times New Roman"/>
                <w:b/>
                <w:bCs/>
                <w:szCs w:val="24"/>
              </w:rPr>
              <w:t>За заявените след 01.01.2022 г -   143,80 евро/ЖЕ;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Списъкът на застрашените от изчезване местни породи е в Приложение 8 към ПРСР (2014-2020) </w:t>
            </w:r>
            <w:r>
              <w:rPr>
                <w:rFonts w:ascii="Times New Roman" w:eastAsia="Times New Roman" w:hAnsi="Times New Roman" w:cs="Times New Roman"/>
                <w:b/>
                <w:bCs/>
                <w:szCs w:val="24"/>
              </w:rPr>
              <w:t>и е приложим до изтичане на изпълняваните многогодишни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Във връзка с прилагането на идентична интервенция в одобрения Стратегически план на България 2023-2027 г., размерът на подпомагане е адаптиран в съответствие с изчисленията от 2022 г. за съответните видове животни в интервенция II.А.6. - Опазване на местни породи (автохтонни), важни за селското стопанство.</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 не по-късно от 2022 г. Ангажиментите на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Полски култури –223,95 евро/ха; За заявените за подпомагане площи след 01.01.2018 г. – 221,39 евро/ха; </w:t>
            </w:r>
            <w:r>
              <w:rPr>
                <w:rFonts w:ascii="Times New Roman" w:eastAsia="Times New Roman" w:hAnsi="Times New Roman" w:cs="Times New Roman"/>
                <w:b/>
                <w:bCs/>
                <w:szCs w:val="24"/>
              </w:rPr>
              <w:t>За заявените за подпомагане площи след 01.01.2022 г.  - 408,01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Трайни насаждения –787,39 евро/ха; </w:t>
            </w:r>
            <w:r>
              <w:rPr>
                <w:rFonts w:ascii="Times New Roman" w:eastAsia="Times New Roman" w:hAnsi="Times New Roman" w:cs="Times New Roman"/>
                <w:b/>
                <w:bCs/>
                <w:szCs w:val="24"/>
              </w:rPr>
              <w:t>За заявените за подпомагане площи след 01.01.2022 г.  - 825,73 евро/ха</w:t>
            </w:r>
            <w:r>
              <w:rPr>
                <w:rFonts w:ascii="Times New Roman" w:eastAsia="Times New Roman" w:hAnsi="Times New Roman" w:cs="Times New Roman"/>
                <w:szCs w:val="24"/>
              </w:rPr>
              <w:t> </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Зеленчуци - 429,48 евро/ха; </w:t>
            </w:r>
            <w:r>
              <w:rPr>
                <w:rFonts w:ascii="Times New Roman" w:eastAsia="Times New Roman" w:hAnsi="Times New Roman" w:cs="Times New Roman"/>
                <w:b/>
                <w:bCs/>
                <w:szCs w:val="24"/>
              </w:rPr>
              <w:t>За заявените за подпомагане площи след 01.01.2022 г.  -  956,12 евро/ха</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Ароматно-медицински култури - 536,86 евро/ха. </w:t>
            </w:r>
            <w:r>
              <w:rPr>
                <w:rFonts w:ascii="Times New Roman" w:eastAsia="Times New Roman" w:hAnsi="Times New Roman" w:cs="Times New Roman"/>
                <w:b/>
                <w:bCs/>
                <w:szCs w:val="24"/>
              </w:rPr>
              <w:t>За заявените за подпомагане площи след 01.01.2022 г. - 845,34евро/ха;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 и е приложим до изтичане на изпълняваните ангажименти.</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Във връзка с прилагането на идентична интервенция в одобрения Стратегически план на България 2023-2027 г., размерът на подпомагане е адаптиран в съответствие с изчисленията от 2022 г. за съответните групи в интервенция II.А.5. - Опазване на застрашени от изчезване местни сортове, важни за селското стопанство.</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6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три пъти годишно. Затревяване на междуредовото пространство на трайни насаждения. Тарифната ставка включва разходите за механизирани обработка по косене и почистване на междуредовите пространства, както и повишените трудови разходи.За създаване и поддържане на буферни ивици. Тук се отчита избягването на двойно финансиране на 5% ЕНП, задължителна по зелените плащания, а компонентите на ставката включват пропуснатите ползи от превръщането на част от обработваемата площ в затревени буферни ивици, както и допълнителните разходи за затревяването на буферните ивици с медоносна растителност, приспадайки възможните допълнителни приходи от затревената площ. Получената стойност от двата компонентна е умножена с дела на затревената буферна площ, за да се разпредели плащането върху целия парцел.</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на базата пропуснати ползи заради разликата в брутните маржини между окопните култури и културите на слята повърхност. Взета са предвид и увеличените разходи от прилагането на такава дейност, които представляват 7% от променливите разходи за окопни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83"/>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2021 г., когато периода на преход към биологично производство е стартирал преди края на 2020 г. и не е по-дълъг от продължителността на ангажимента.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до 3 г. включително в съответствие с приетото законодателство за периода 2021-2022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2022 г., когато периода на преход към биологично производство е стартирал преди края на 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по подмярката може да се предоставя за срок не по-дълъг от минималните периоди на преход към биологично производство.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4"/>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след 01.01.2022г на Регламент(ЕС) 2018/848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а след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ангажимента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ангажимента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 направление „Биологично растениевъдство“, заявени за подпомагане през 2021 и следващи кампании, може да се получава плащане, в случай, че е спазено изискването за отглеждане на биологични животни, заявени по направление „Биологично животновъдство“ при спазване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 а след 01.01.2022 г. съгласно т.1.7.1 от част I на Приложение II част от  Регламент(ЕС) 2018/848.</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на земеделски стопанин, включени в слой „Биологични площи“, не могат да бъдат подпомагани за дейности за преход към биологично производство, както и сертифицираните животни и пчелини с пчелни семейства.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 За заявените за подпомагане площи след 01.01.2022 г. – 360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 За заявените за подпомагане площи след 01.01.2022 г. – 125 евро/ха;;</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 За заявените за подпомагане площи след 01.01.2022 г. – 1208 евро/ха;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 За заявените за подпомагане площи след 01.01.2022 г. –683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 За заявените за подпомагане площи след 01.01.2022 г. –759 евро/ха ;</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numPr>
                <w:ilvl w:val="0"/>
                <w:numId w:val="3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 За заявените за подпомагане след 01.01.2022 г. – 296 евро/ха;</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  За заявените за подпомагане след 01.01.2022 г. – 207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 За заявените за подпомагане след 01.01.2022 г. – 241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05"/>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 По тази подмярка ще се подпомагат на територията на цялата страна: биологични стопанства, съгласно дефинициите на Регламент (ЕО) № 834/2007, а след 01.01.2022 на Регламент(ЕС) 2018/848,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могат да се поемат нови ангажименти с продължителност до 2 г. за кандидати изпълняващи ангажименти по ПРСР 2014-2020 или продължаващите ангажиментите да бъдат ежегодно удължавани до края на 2022. Ангажиментите за нови кандидати може да са с продължителност от 1 до 3 г в съответствие с приетото законодателство за периода 2021-2022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1 г. в съответствие с приетото законодателство за периода 2021-2022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и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от 01.01.2022 г. на Регламент(ЕС) 2018/848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а от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 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numPr>
                <w:ilvl w:val="0"/>
                <w:numId w:val="4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Удължените след 2020 г. ангажименти се изпълняват на одобрената за подкрепа площ за извършване на дейности по направление „Биологично растениевъдство“, която може да варира с процент по-голям от 10 % като ангажимента продължава да се изпълнява с площите, за които земеделските стопани имат регистрирано правно основание за ползване за съответната година.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с които се поема нов ангажимент по подмярката трябва да  са вписани в регистъра по чл. 16а, ал. 1, т. 1 от Закона за прилагане на Общата организация на пазарите на земеделски продукти на Европейския съюз;</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1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 За заявените за подпомагане площи след 01.01.2022 г. – 286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1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 За заявените за подпомагане площи след 01.01.2022 г. – 105 евро/ха;</w:t>
            </w:r>
          </w:p>
          <w:p>
            <w:pPr>
              <w:numPr>
                <w:ilvl w:val="0"/>
                <w:numId w:val="41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 За заявените за подпомагане площи след 01.01.2022 г. – 977 евро/ха;</w:t>
            </w:r>
          </w:p>
          <w:p>
            <w:pPr>
              <w:numPr>
                <w:ilvl w:val="0"/>
                <w:numId w:val="41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 За заявените за подпомагане площи след 01.01.2022 г. – 577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 За заявените за подпомагане площи след 01.01.2022 г. –589 евро/ха;</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 За заявеното за подпомагане пчелно семейство след 01.01.2022 г. –28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 За заявените за подпомагане след 01.01.2022 г. –261 евро/ха;</w:t>
            </w:r>
          </w:p>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 За заявените  за подпомагате след 01.01.2022 г. – 183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 За заявените за подпомагане след 01.01.2022 г. –202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Одобрената за подкрепа площ на удължените след 2020 г. ангажименти може да варира с процент по-голям от 10 %, като ангажимента продължава да се изпълнява с площите, за които земеделските стопани имат правно основание за ползване за съответната година.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 площи за оставащия период.</w:t>
            </w:r>
          </w:p>
          <w:p>
            <w:pPr>
              <w:numPr>
                <w:ilvl w:val="0"/>
                <w:numId w:val="4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без да поемат нов ангажимент не по-късно от 2022 година.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w:t>
            </w:r>
            <w:r>
              <w:rPr>
                <w:rFonts w:ascii="Times New Roman" w:eastAsia="Times New Roman" w:hAnsi="Times New Roman" w:cs="Times New Roman"/>
                <w:b/>
                <w:bCs/>
                <w:szCs w:val="24"/>
              </w:rPr>
              <w:t>пре</w:t>
            </w:r>
            <w:r>
              <w:rPr>
                <w:rFonts w:ascii="Times New Roman" w:eastAsia="Times New Roman" w:hAnsi="Times New Roman" w:cs="Times New Roman"/>
                <w:b/>
                <w:bCs/>
                <w:szCs w:val="24"/>
              </w:rPr>
              <w:t>изчисляване на компенсаторните плащания по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Методологията  е разработена от  проф. Божидар Иванов Институт по аграрна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в биологичното земеделие получават компенсаторно плащане за направените разходи и претърпените загуби при изпълнение на посочените дейности. При преизчисляване на нивата на компенсаторните плащания по Мярка 11 е използван методическият алгоритъм, който е разработен и прилаган през програмния период 2014-2020 г. Направена актуализацията е само на основата на осъвременяване с приетите референтни стойностите и количествените резултати, които са използвани за формирането на изчислението в отделните производствени направления през новия програмен период за биологично производство. Направена е проверка за избягване на двойно финансиране, като са взети предвид базовите изисквания и задължителни условия, които земеделските стопани трябва да покриват, за да получават директни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Преизчислените нива за подпомагане при биологичното растениевъдство/пчеларство и животновъдство са като следва (в евро/ха)</w:t>
            </w:r>
          </w:p>
          <w:p>
            <w:pPr>
              <w:numPr>
                <w:ilvl w:val="0"/>
                <w:numId w:val="4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- 360 евро/ха в преход, 286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–125 евро/ха в преход, 105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–756 евро/ха в преход, 589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–1208 евро/ха в преход, 977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683 евро/ха в преход, 577 евро/хаслед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–35 евро/ха в преход, 28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- 296 евро/ха в преход,  261 евро/ха след прехода;</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207 евро/ха в преход,  183 евро/ха след прехода;</w:t>
            </w:r>
          </w:p>
          <w:p>
            <w:pPr>
              <w:numPr>
                <w:ilvl w:val="0"/>
                <w:numId w:val="4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 майки), отглеждани за  производство (мляко и/или месо) - 241 евро/ха в преход, 202 евро/ха след прехода;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Когато земеделските стопани са кандидатствали по направление „Биологично животновъдство“ от мярка 11 „Биологично земеделие“ и по мярка 14 „Хуманно отношение към животните“ подпомагането, което ще получат по цитираното направление, ще бъде намалено с размера на финансовото подпомагане по мярка 14. Това намаление се отнася само за групите животни, които са допустими за заявяване и подпомагане по двете мерки.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за използване на продукти за растителна защита в горското и селското и/или забрана употреба на минерални торове, както и на продукти за растителна защита и биоциди.</w:t>
            </w:r>
          </w:p>
          <w:p>
            <w:pPr>
              <w:numPr>
                <w:ilvl w:val="0"/>
                <w:numId w:val="4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Данни използвани от ДФЗ-РА при прилагане на мярката - Електронен регистър по чл. 45 от Наредба 5 от 2018 г.  и слой „Биологични площи“</w:t>
            </w:r>
          </w:p>
          <w:p>
            <w:pPr>
              <w:numPr>
                <w:ilvl w:val="0"/>
                <w:numId w:val="4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въз основа на данните в регистъра по чл. 45, предоставя на ДФЗ-РА информация за включените в система на контрол площи, животни и пчелни семейства към края на предходната година.</w:t>
            </w:r>
          </w:p>
          <w:p>
            <w:pPr>
              <w:numPr>
                <w:ilvl w:val="0"/>
                <w:numId w:val="4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ДФЗ-РА може да извършва проверки и въз основа на този регистър.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предоставя на ДФЗ-РА цифрови географски данни за площите преминали периода на преход и за които е издаден сертификат от Контролиращото лице (слой „Биологични площи“).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39"/>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1"/>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2"/>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42"/>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Приложение №13А и Приложение 13Б.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4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 Директива 92/43/ЕИО за опазване на природните местообитания и на дивата флора и фауна.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16. Употреба на изкуствени торове и химически средства за растителна защита.</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8"/>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4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16. Употреба на изкуствени торове и химически средства за растителна защита.</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 незасегнати от природни и почвени ограничения, считани в методиката, като незасегнати от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използване на продукти за растителна защита в горското и селското и/или забрана за употреба на минерални торове, както и на продукти за растителна защита и биоциди.           </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площи, попадащи едновременно в обхвата на защитени зони по Директивата за птиците 2009/147/ЕО и Директива 92/43/ЕИО за опазване на природните местообитания и на дивата флора и фауна спазват всички забрани/режими/ограничения в заповедите и плановете за управление на съответните зони, но могат да получат компенсаторно плащане само за забраните и ограниченията за селскостопанска дейност в една зона.</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5"/>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6"/>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7, параграф 4 от РЕГЛАМЕНТ (ЕС) 2020/2220 на Европейския парламент и на Съвета, с който е изменен чл. 31, параграф 5 от Регламент 1305/2013, за бенефициерите от райони, които вече не отговарят на условията за подпомагане след новото райониране, преходната помощ за кампания 2021 и 2022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61"/>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телета в евро/ЖЕ - 27,46 евро; След 2020 г. евро/ЖЕ - 39,72 евро; За заявените след 01.01.2022 г. –  40,29 евро/животинска единица (ЖЕ).</w:t>
            </w:r>
          </w:p>
          <w:p>
            <w:pPr>
              <w:numPr>
                <w:ilvl w:val="0"/>
                <w:numId w:val="461"/>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крави и биволици над 24 месечна възраст в евро/ЖЕ - 42.71 евро. След 2020 г. евро/ЖЕ - 66,21 евро; За заявените след 01.01.2022 г. –  67,14 евро/животинска единица (ЖЕ).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 След 2020 г. евро/ЖЕ - 24,70 евро; За заявените след 01.01.2022 г. – 35,99 евро/животинска единица (ЖЕ).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 След 2020 г. евро/ЖЕ – 28 евро; За заявените след 01.01.2022 г. –  31,22 евро/животинска единица (ЖЕ).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 След 2020 г. евро/ЖЕ – 47,86 евро; За заявените след 01.01.2022 г. – 75,98 евро/животинска единица (ЖЕ).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7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Извършено е преизчисление на премиите с референтен период 2017-2019 г., при което констатираните промени в пазарната и производствена среда в този период са съотнесени към периода 2011-2013 г.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73"/>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Център за оценка на риска по хранителната верига,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82"/>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8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8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територията на цялата страна (включително селските райони и териториите със специфични характеристики, определени в Националната концепция за пространствено развитие за периода 2013 – 2025 г.) с изключение на градовете с население над 30 000 жители, в техните строителни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ЛИДЕР).За населените места, на чиито територии се прилага подхода ВОМР/ЛИДЕР и които са подпомагани от „Програма за развитие на регионите“ 2021 – 2027 г., се прилага демаркация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92"/>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и през периода 2021 – 2027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и 2014 – 2020 г. (не са изпълнявали подмерки 431-2, 431-1, 41, 19.1, 19.2 и 19.4)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подмерки 431-2, 431-1, 41, 19.1, 19.2 и 19.4) и до 9 месеца за местни общности, не прилагали подхода ЛИДЕР през програмни периоди 2007 – 2013 г. и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12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2021 – 2022 г. по подмярката се публикува най-малко една покана за изразяване на интерес за подкрепа за подготвителни дейности за изготвяне на стратегии за ВОМР за периода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периоди 2007-2013 г. и 2014 – 2020 г. (не са изпълнявали подмерки 431-2, 431-1, 41, 19.1, 19.2 и 19.4 на  територията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 периоди 2007-2013 г. и 2014 – 2020 г. на територия или част от територия, за която се кандидатства, (изпълнявали са подмерки 431-2, 431-1, 41, 19.1, 19.2 и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г. и ПРСР 2014 – 2020 г.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 периоди 2007-2013 г. и 2014 – 2020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 периоди 2007-2013 г. и 2014 – 2020 г.;</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през периодите 2007-2013 г. и 2014 – 2020 г.</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0"/>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5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1 500 000 евро (общо за стратегията вкл. с текущите разходи и разходи за популяризиране 2 000 000 евро), а за групи с по-голямо население – до левовата равностойност на 2 100 000 евро (общо за стратегията вкл. с текущите разходи и разходи за популяризиране 2 800 000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проект към стратегия за ВОМР е до левовата равностойност на 200 000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максимален размер на допустимите разходи за един проект не се прилага по отношение на стойността, с която са индексирани вече одобрени за подпомагане разходи по договори с бенефициенти, съгласно приетата с Постановление на Министерския съвет № 290 от 2022 г. Методика за изменение на цената на договор за обществена поръчка в резултат на инфлация.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4"/>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0"/>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8"/>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за прием през 2021 г. са земеделски стопани, които са кандидатствали за подпомагане по схемите за директни плащания през Кампания 2020 и:</w:t>
            </w:r>
          </w:p>
          <w:p>
            <w:pPr>
              <w:numPr>
                <w:ilvl w:val="0"/>
                <w:numId w:val="5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получили подпомагане в рамките на предходния прием по мярката през 2020 г., или</w:t>
            </w:r>
          </w:p>
          <w:p>
            <w:pPr>
              <w:numPr>
                <w:ilvl w:val="0"/>
                <w:numId w:val="5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подавали заявление за подпомагане в рамките на предходния прием по мярката през 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8.2.16.7.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кандидати през 2021 г.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установените допустими за подпомагане площи със съответната земеделска култура от списъка в т. 8.2.16.7. за кампания 2020 и/или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установените допустими за подпомагане животни от съответния вид за кампания 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31 декември 2021 г. въз основа на заявленията за подпомагане, които следва да бъдат одобрени до 30 юни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 Един кандидат може да получи финансовата помощ еднократно.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0"/>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1"/>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изплатенодо 31 декември 2021 г. въз основа на заявленията за подпомагане, които следва да бъдат одобрени до 30 юни 2021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2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2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2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2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2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2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2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838"/>
              <w:gridCol w:w="5794"/>
              <w:gridCol w:w="1788"/>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4" w:name="_Toc256000134"/>
      <w:r>
        <w:rPr>
          <w:b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bookmarkEnd w:id="13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39в от Регламент (ЕС) № 1305/2013 на Европейския парламент и Съвета от 17 декември 2013 г. относно подпомагане на развитието на селските райони от Европейският земеделски фонд за развитие на селските райони (ЕЗФРСР) и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2022/1033 на Европейския парламент и на Съвета от 29 юни 2022 година за изменение на Регламент (ЕС) № 1305/2013 във връзка със специална мярка за предоставяне на извънредно временно подпомагане от Европейския земеделски фонд за развитие на селските райони (ЕЗФРСР) в отговор на последиците от руското нашествие в Украйна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Руското нашествие в Украйна постави селското стопанство и предприятията от хранително-вкусовата промишленост пред значими предизвикателства, свързани с безпрецедентно нарастване на цените на основни производствени ресурси - енергия, торове, фуражи, и несигурност на земеделските пазари. Кризисната ситуация допълнително влошава традиционно ниската ликвидност на земеделските стопанства и малките и средни предприятия (МСП), преработващи селскостопански продукти. Съществува вероятност някои стопански оператори да преустановят своята дейност, което може да постави под риск стабилността на веригата на доставки на храни и като цяло да застраши продоволствената сигурност на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Нарушено е нормалното функциониране на цялата верига на доставка на храни, в резултат на което може да се стигне до затваряне на предприятия и освобождаване на работници. В тази връзка, на европейско ниво се въведе извънредна мярка за подкрепа на земеделските стопани и малки и средни предприятия, особено засегнати от руското нашествие в Украйна, със средства от ЕЗФРСР (5% от участието на Фонда в ПРСР за 2021 и 2022 година). Средствата са целеви и са предназначени за преодоляване на преките и косвените последици за селското стопанство и хранително-вкусовата промишленост в резултат на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и МСП, които преработват селскостопански продукти.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две подмерки в зависимост от вида на допустимите кандидати – земеделски стопани и МСП. Подмярката, насочена към подпомагане на МСП, ще бъде разработена и включена в обхвата на М 22 на по-късен етап.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22.1 Извънредно временно подпомагане за земеделските стопани, засегнати от последиците от руското нашествие в Украйна  (член 39в)</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7"/>
              </w:numPr>
              <w:rPr>
                <w:b w:val="0"/>
              </w:rPr>
            </w:pPr>
            <w:r>
              <w:rPr>
                <w:b w:val="0"/>
              </w:rPr>
              <w:t>22.1 Извънредна временна подкрепа за земеделските стопани и МСП, които са особено засегнати от последиците от нахлуването на Русия в Украйна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земеделски стопани, които осъществяват стопанска дейност на територията на цялата страна, в особено засегнати от руското нашествие в Украйна сектори. Подкрепата по тази подмярка има за цел да допринесе за продоволствената сигурност, за преодоляване на пазарните дисбаланси и непрекъснатост на стопанската дейност на земеделските стопани, като се предоставя под формата на еднократно платима сума.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спешна безвъзмездна финансова помощ под формата на еднократно платима сума на земеделски стопани, извършващи дейност в секторите “Растениевъдство” и “Животновъдство”.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схемите за обвързано с производството подпомагане по чл. 18, т. 9-15 от Наредба № 3 от 2015 г. за условията и реда за прилагане на схемите за директни плащания (ДВ, бр.16 от 2015 г.)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да са кандидатствали за подпомагане по схемите за обвързано с производството подпомагане по чл. 18, т. 1-8 и чл. 35, т. 4 от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да са осъществявали дейност в направление „розопроизводство“ и/или „винени лозя“ и/или да са отглеждали „слънчоглед“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да са регистрирани по Наредба № 3 от 1999 г. за създаване и поддържане на регистър на земеделските стопани за стопанската 2021 – 2022 г. с площи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мъжки от 6 месеца до 24 месеца,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от 6 месеца до 24 месеца, от месодайни породи,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да отглеждат малини или ягоди – оранжерийно производство и да са регистрирани по Наредба № 3 от 1999 г. за създаване и поддържане на регистър на земеделските стопани за стопанската година 2022 – 2023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да са регистрирани по Наредба № 3 от 1999 г. за създаване и поддържане на регистър на земеделските стопани за стопанската 2021 – 2022 г. и стопанската 2022 – 2023 г. и да са собственици/ползватели на пчелни семейства.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направления: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слънчоглед;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култивирани гъби;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 мъжки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от месодайни породи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пчелни семейства;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малини или ягоди – оранжирийно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едно от изброените направления.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на земеделски стопани, развиващи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и култивирани гъби) и “Животновъдство” (ЕПЖ и ДПЖ). Финансовата компенсация представлява еднократно платима сума и се определя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по-малкият размер измежду размера на установената за допустима за подпомагане площ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за кампания 2021, но не повече от по-малкия размер измежду размера на заявените площи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през кампания 2022 г. Площите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трябва да са заети със съответната земеделска култура от списъка в секция „Друга важна информация, необходима за по-доброто разбиране и прилагане на мярката“;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броят на установените допустими за подпомагане животни от съответния вид за кампания 2021 по схемите по чл. 18, т. 1-8 и чл. 35, т. 4 от Наредба № 3 от 2015, но не повече от броя на заявените по схемите по чл. 18, т. 1-8 и чл. 35, т. 4 от Наредба № 3 от 2015 г. животни от същия вид за кампания 2022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размерът на установената за допустима за подпомагане по схемата за плащане за селскостопански практики, които са благоприятни за климата и околната среда (зелени директни плащания), площ с маслодайна роза или с винени лозя или със слънчоглед през кампания 2021, но не повече от размера на заявените площи с маслодайна роза или с винени лозя или със слънчоглед през кампания 2022 по схемата за плащане за селскостопански практики, които са благоприятни за климата и околната среда (зелени директни плащания);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установените при проверка на място площи в квадратни метри, заети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броят на наличните в стопанството към 30.06.2022 г. телета за угояване - мъжки от 6 месеца до 24 месеца,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броят на наличните в стопанството към 30.06.2022 г. телета за угояване от 6 месеца до 24 месеца, от месодайни породи,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при установени площи, заети с малини или ягоди – оранжерийно производство;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броят на наличните в стопанството пчелни семейства,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Българската агенция по безопасност на храните - ВетИс.</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15 октомври 2023 г. въз основа на заявленията за подпомагане, които следва да бъдат одобрени до 31 март 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Ако плащанията по подмярката превишат предвидения бюджет, подпомагането се намалява пропорционално чрез прилагане на коефициент за намаление.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по подмярката не може да надвишава левовата равностойност на 15 000 евро за един кандидат, в това число подпомагането, предоставяно - към деня на започване на приема на заявления по подмярката - по други инструменти за подпомагане на национално равнище или на равнището на Съюза. На територията на България Министерство на земеделието е приложило нотифицирана схема за държавна помощ „Помощ в подкрепа на ликвидността на земеделски стопани за преодоляване на негативното икономическо въздействие на руската агресия срещу Украйна“ и извънредна финансова помощ съгласно Делегиран регламент (ЕС) 2022/467 на Комисията от 23 март 2022 г. за предоставяне на извънредна помощ за приспособяване на производителите в селскостопанския сектор (ОВ, L 96, 24.3.2022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450 лева (230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4 000 лева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25 000  лева (12 782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полски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2 300  лева (1 176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8 000  лева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оранжерийно производство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отопляеми оранжерии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неотопляеми оранжерии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200 лева (102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900 лева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1 800 лева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3 200  лева (1 636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4 800 лева (2 454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300 лева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1 300 лева (665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2 500 лева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слънчоглед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0,5 ха до 4,99 ха – 150 лева (77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9,99 ха – 350 лева (179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29, 99 ха – 850 лева (435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99, 99 ха – 2 800 лева (1 432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100 до 149, 99 ха – 6 000 лева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гъби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499, 9 кв.м.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кв.м. до 999, 99 кв.м. – 6 600 лева (3 375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1 000 кв.м. до 1499, 99 кв.м. – 11 600 лева (5 931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1500 кв.м. до 1999, 99 кв.м. – 16 400 лева (8 385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2000 кв. м.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ягоди или малини - оранжерийно производство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в размер на 15 000 лева (7 669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650 лева (332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2 150 лева (1 099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5 150 лева (2 633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17 000 лева (8 692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24 000 лева (12 271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млечни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лева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15 000 лева (7 669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месодайни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3 700 лева (1 892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 мъжки от 6 месеца до 24 месеца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3 000 лева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10 500 лева (5 369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до 149 бр.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150 бр. и повече броя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от 6 месеца до 24 месеца от месодайни породи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6 300 лева (3 221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20 500 лева (10 481 EUR)</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100 бр. и повече броя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брой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до 19 бр. - 100 лв. (51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от 20 бр. до 49 бр.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от 50 бр. до 99 бр. - 680 лв. (348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от 100 до 149 бр. - 1200 лв. (614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от 150 до 249 бр. - 1700 лв. (869 EUR);</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със 250 бр. и повече броя  - 3650 лв. (1 866 EUR).</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бенефициериете,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извънредното временно подпомагане за земеделските стопани е извършено съвместно между дирекция „Развитие на селските райони“, Министерство на земеделието, като Управляващ орган по ПРСР 2014 – 2020 г., и проф. Светлана Александрова, Университет за национално и световно стопанство, в качеството си на външен експерт, който осигурява методическа подкрепа и верифицира изчисленията.</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22.2 Извънредно временно подпомагане за МСП, засегнати от последиците от руското нашествие в Украйна  (член 39b)</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затруднения в резултат на руското нашествие в Украйна, по отношение на търговията със суровини и продукция, както и поскъпването на суровините и енергоносителите, доведоха до икономически сътресения в селскостопанския сектор и до проблеми с ликвидността и паричните потоци за малките и средни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както и групи/организации на производители, които предлагат на пазара селскостопански продукти. По този начин ще се осигури достъп до финансиране на над 120 МСП и групи и организации на производители. Финансирането по подмярката е в съответствие с изискванията на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микро, малки и средни предприятия под формата на еднократна помощ за справяне с предизвикателствата, пред които е поставена преработвателната промишленост в резултат на руското нашествие в Украйна.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преработката/маркетинга на селскостопански продукти, както и поради недостига и непрекъснато покачващите се цени на енергоносителите.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еднократно платима сума за микро, малки и средни предприятия, преработватели на селскостопански продукти, включително и групи/организации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насочено към дейности, свързани с 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 Резултатът от преработката може да бъде продукт, който не е включен в Приложение I към Договора.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микро, малки и средни предприятия, отговарящи на дефиницията, посочена в чл. 2, точка 28 от Регламент (ЕС) № 1303/2013 на Европейския парламент и на Съвета от 17 декември 2013 година – преработващи селскостопански продукти, включени в Приложение I към ДФЕС, както и групи/организации на производители признати от министъра на земеделието.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трябва да са ангажирани в поне една от изброените дейности:</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кръгова икономика;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управление на хранителните вещества;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ефективно използване на ресурсите;</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 и щадящи климата методи за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Кандидатите трябва да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2.1. регистрирани по Търговския закон или Закона за кооперациите,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2.2. регистрирани по Закона за данък върху добавената стойност 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2.3. извършвали дейност през 2021 и 2022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За кандидати предприятия, преработващи селскостопански продукти, условието по т. 1 се счита за изпълнено, когато притежават поне един от следните документи:</w:t>
            </w:r>
          </w:p>
          <w:p>
            <w:pPr>
              <w:numPr>
                <w:ilvl w:val="0"/>
                <w:numId w:val="5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договор, сключен през 2022 г. с лице, което притежава разрешение или разрешително за третиране на отпадъци по чл. 35, ал. 1 от Закона за управление на отпадъците;</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сертификат за биологично производство;</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въвеждане в експлоатация/ползване на пречиствателни станции;</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въвеждане в експлоатация/ползване на инсталации за производство на енергия от ВЕИ;</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международен стандарт за управление на енергия ISO5001:2018;</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международен стандарт за управление на околната среда ISO 14001;</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въведени системи за управление по отношение на околната среда;</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налични рециклиращи или компостиращи машини или съоръжения;</w:t>
            </w:r>
          </w:p>
          <w:p>
            <w:pPr>
              <w:numPr>
                <w:ilvl w:val="0"/>
                <w:numId w:val="5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документи, доказващи съответствие с дейностите по т. 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За кандидати групи/организации на производители условието по т. 1 се счита за изпълнено, когато: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4.1. над 51% от членовете на групата/организацията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получили подпомагане по схемата за плащане за селскостопански практики, които са благоприятни за климата и околната среда (зелени директни плащания) за кампания 2022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отглеждат животни в животновъден обект, регистриран по чл. 137 от Закона за ветеринарномедицинската дейност и са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4.2. групата/организацията на производители притежава някой от документите по т. 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Всички членове на групата/организацията на производители трябва да са регистрирани по реда на Наредба № 3 от 1999 г. за създаване и поддържане на регистър на земеделските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За кандидати групи/организации на производители или кандидати, извършващи обработка/преработка на храни по чл. 1, т. 2 от Наредба № 26 от 14.10.2010 г. за специфичните изисквания за директни доставки на малки количества суровини и храни от животински произход (Наредба № 26 от 2010 г.), условието по т. 2.2 не е задължително.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под формата на еднократно платима сума.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кандидати, преработващи селскостопански продукти кода на основната икономическа дейност за 2021 г. и 2022 г., съгласно КИД 2008 трябва да съответства на кодовете на </w:t>
            </w:r>
            <w:r>
              <w:rPr>
                <w:rFonts w:ascii="Times New Roman" w:eastAsia="Times New Roman" w:hAnsi="Times New Roman" w:cs="Times New Roman"/>
                <w:b/>
                <w:bCs/>
                <w:szCs w:val="24"/>
                <w:u w:val="single"/>
              </w:rPr>
              <w:t>класовете</w:t>
            </w:r>
            <w:r>
              <w:rPr>
                <w:rFonts w:ascii="Times New Roman" w:eastAsia="Times New Roman" w:hAnsi="Times New Roman" w:cs="Times New Roman"/>
                <w:szCs w:val="24"/>
              </w:rPr>
              <w:t>, посочени в секция „Друга важна информация, необходима за по-доброто разбиране и прилагане на мярката“. Кандидатите, извършващи обработка/преработка на храни по чл. 1, т. 2 от Наредба № 26 от 2010 г. трябва да имат код на икономическа дейност  за 2021 г. и 2022 г. в класовете, посочени в секция „Друга важна информация, необходима за по-доброто разбиране и прилагане на 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Кандидатите групи на производители трябва да са признати в следните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2.1. зърнено-житни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2.2. медицински и етерично-маслени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2.3. картофи;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2.4. мляко;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2.5. мед;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2.6. плодове;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2.7.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Кандидатите организации на производители трябва да са признати в следните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3.1. зърнено-житни култури и маслодайни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3.2. медицински и етерично-маслени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3.3. картофи;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3.4. мляко и млечни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3.5.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3.6. плодове и зеленчуци.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За кандидати, преработващи селскостопански продукти, размерът на финансовата помощ се определя въз основа на отрицателната разлика между приходите от оперативна дейност и разходите за оперативна дейност за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кандидати групи или организации на производители размерът на финансовата помощ се определя въз основа на отрицателната разлика между нетните приходи от продажби и разходите за оперативна дейност за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Максималният допустим размер на финансовата помощ за един кандидат не може да надвишава 100 000 лева.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Финансовата помощ за предприятия, извършващи дейности по преработка на продукти от приложение № І от ДФЕС в продукти извън приложение № І от ДФЕС или памук се предоставя в съответствие с изискванията на Регламент (ЕС) № 1407/2013 на Комисията от 18 декември 2013 година (код 10.52 Производство на сладолед и код 20.53 Производство на етерични масла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В случай, че допустимият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В съответствие с условието на чл. 39в,  т. 6 от Регламент 1305/2013, при предоставяне на подпомагането по подмярка 22.2 ще се взема предвид подпомагането на кандидата, предоставено по други инструменти за подпомагане на национално равнище или на равнището на Съюза, или по частни схеми в отговор на последиците от руското нашествие в Украйна, като общият размер не може да превишава 100 000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кандидатите,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териториална служба на МЗм/ДФЗ.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2022,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М 22.2 - за определяне на максималния размер на подпомагането за едно преработвателно предприятие, както и на най-засегнатите сектори от руското нашествие в Украйна са използвани следните официални данни от Националния статистически институт: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Данни за приходи от оперативна дейност и разходи за оперативна дейност за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производител в промишлеността за трето тримесечие на 2022 г. спрямо 2021 г. по икономически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селскостопанска продукция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производител при производство и разпределение на електрическа и топлоенергия и газ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Средна брутна месечна работна заплата в преработващата промишленост за 2021 г. и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Приходите  от оперативна дейност на предприятията за 2022 г. са изчислени въз основа  данните на НСИ за приходите за 2021 г. и индексите на цени на производител в промишлеността по икономически дейности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Разходите за оперативна дейност за 2022 г. са изчислени въз основа на данните на НСИ за разходите за 2021 г. и  индекса на разходите за оперативна дейност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Индексът на разходите за оперативна дейност за трето тримесечие на 2022 г. спрямо 2021 г. е определен като данните на НСИ за 2021 г. по разходни елементи (суровини и материали, електрическа енергия и газ, персонал) са индексирани с индексите на цените на селскостопанска продукция за трето тримесечие на 2022 г. спрямо 2021 г., индексите на цените на производител при производство и разпределение на електрическа енергия, топлоенергия и газ за трето тримесечие на 2022 г. спрямо 2021 г. и индекс на средната брутна месечна работна заплата в преработващата промишленост за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4. Индексът на средната брутна месечна работна заплата в преработващата промишленост за 2022 г. е определен като отношение на средната брутна работна заплата за 2022 г. (деветмесечие) и средната брутна работна заплата за 2021 г. (деветмесечие).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определяне  на максималния размер на подпомагането за групите/организациите за производители са използвани данни от проведено анкетно проучване за финансовите им показатели за 2021 г. и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нуждите на изчисленията са взети предвид нетните приходи от продажби и разходите за оперативна дейност на ОП и ГП.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Средният приход/разход на една ОП/ГР за отделен сектор представлява среднопретеглена стойност на приходите/разходите на всички ОП или ГП в съответния сектор. Така получените стойности са база за осредняване на приходите и разходите на една група/организация на производители общо от всички сектори.</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МСП по отношение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кандидатите,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териториална служба на МЗм/ДФЗ.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М22.1 е представена в отделно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М 22.2 е описана в т. 8.2.17.3.2.10.</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
            <w:tblGrid>
              <w:gridCol w:w="2855"/>
              <w:gridCol w:w="5783"/>
              <w:gridCol w:w="1782"/>
            </w:tblGrid>
            <w:tr>
              <w:tblPrEx>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Ex>
              <w:trPr>
                <w:trHeight w:val="299"/>
                <w:jc w:val="center"/>
              </w:trPr>
              <w:tc>
                <w:tcPr>
                  <w:gridSpan w:val="3"/>
                  <w:noWrap w:val="0"/>
                  <w:tcMar>
                    <w:top w:w="25" w:type="dxa"/>
                    <w:left w:w="25" w:type="dxa"/>
                    <w:bottom w:w="20"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 по Подмярка 2</w:t>
                  </w:r>
                  <w:r>
                    <w:rPr>
                      <w:rFonts w:ascii="Times New Roman" w:eastAsia="Times New Roman" w:hAnsi="Times New Roman" w:cs="Times New Roman"/>
                      <w:b/>
                      <w:bCs/>
                      <w:i w:val="0"/>
                      <w:iCs w:val="0"/>
                      <w:smallCaps w:val="0"/>
                      <w:color w:val="000000"/>
                      <w:szCs w:val="24"/>
                    </w:rPr>
                    <w:t>2.1.</w:t>
                  </w:r>
                  <w:r>
                    <w:rPr>
                      <w:rFonts w:ascii="Times New Roman" w:eastAsia="Times New Roman" w:hAnsi="Times New Roman" w:cs="Times New Roman"/>
                      <w:b/>
                      <w:bCs/>
                      <w:i w:val="0"/>
                      <w:iCs w:val="0"/>
                      <w:smallCaps w:val="0"/>
                      <w:color w:val="000000"/>
                      <w:szCs w:val="24"/>
                    </w:rPr>
                    <w:t xml:space="preserve"> </w:t>
                  </w:r>
                </w:p>
              </w:tc>
            </w:tr>
            <w:tr>
              <w:tblPrEx>
                <w:jc w:val="center"/>
                <w:tblCellMar>
                  <w:top w:w="15" w:type="dxa"/>
                  <w:left w:w="15" w:type="dxa"/>
                  <w:bottom w:w="15" w:type="dxa"/>
                  <w:right w:w="15" w:type="dxa"/>
                </w:tblCellMar>
                <w:tblLook w:val="05E0"/>
              </w:tblPrEx>
              <w:trPr>
                <w:trHeight w:val="913"/>
                <w:jc w:val="center"/>
              </w:trPr>
              <w:tc>
                <w:tcPr>
                  <w:shd w:val="clear" w:color="auto" w:fill="D9D9D9"/>
                  <w:noWrap w:val="0"/>
                  <w:tcMar>
                    <w:top w:w="20" w:type="dxa"/>
                    <w:left w:w="25"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shd w:val="clear" w:color="auto" w:fill="D9D9D9"/>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122010-слънчоглед</w:t>
                  </w:r>
                </w:p>
              </w:tc>
              <w:tc>
                <w:tcPr>
                  <w:noWrap w:val="0"/>
                  <w:tcMar>
                    <w:top w:w="20" w:type="dxa"/>
                    <w:left w:w="20"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Маслодайни култури-ТЕХНИЧЕСКИ КУЛТУРИ</w:t>
                  </w:r>
                </w:p>
              </w:tc>
              <w:tc>
                <w:tcPr>
                  <w:noWrap w:val="0"/>
                  <w:tcMar>
                    <w:top w:w="20" w:type="dxa"/>
                    <w:left w:w="20"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Слънчоглед</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 класове по КИД 2008 допустими за подпомагани по подмярка 22.2 :</w:t>
            </w:r>
          </w:p>
          <w:tbl>
            <w:tblPr>
              <w:tblStyle w:val="Table"/>
              <w:tblW w:w="9122" w:type="dxa"/>
              <w:tblCellMar>
                <w:top w:w="15" w:type="dxa"/>
                <w:left w:w="15" w:type="dxa"/>
                <w:bottom w:w="15" w:type="dxa"/>
                <w:right w:w="15" w:type="dxa"/>
              </w:tblCellMar>
              <w:tblLook w:val="05E0"/>
            </w:tblPr>
            <w:tblGrid>
              <w:gridCol w:w="2652"/>
              <w:gridCol w:w="2650"/>
              <w:gridCol w:w="3820"/>
            </w:tblGrid>
            <w:tr>
              <w:tblPrEx>
                <w:tblW w:w="9122" w:type="dxa"/>
                <w:tblCellMar>
                  <w:top w:w="15" w:type="dxa"/>
                  <w:left w:w="15" w:type="dxa"/>
                  <w:bottom w:w="15" w:type="dxa"/>
                  <w:right w:w="15" w:type="dxa"/>
                </w:tblCellMar>
                <w:tblLook w:val="05E0"/>
              </w:tblPrEx>
              <w:trPr>
                <w:trHeight w:val="327"/>
              </w:trPr>
              <w:tc>
                <w:tcPr>
                  <w:tcW w:w="9162" w:type="dxa"/>
                  <w:gridSpan w:val="3"/>
                  <w:shd w:val="clear" w:color="auto" w:fill="D8E4BC"/>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Класификация на икономическите дейности (КИД - 2008)</w:t>
                  </w:r>
                </w:p>
              </w:tc>
            </w:tr>
            <w:tr>
              <w:tblPrEx>
                <w:tblW w:w="9122" w:type="dxa"/>
                <w:tblCellMar>
                  <w:top w:w="15" w:type="dxa"/>
                  <w:left w:w="15" w:type="dxa"/>
                  <w:bottom w:w="15" w:type="dxa"/>
                  <w:right w:w="15" w:type="dxa"/>
                </w:tblCellMar>
                <w:tblLook w:val="05E0"/>
              </w:tblPrEx>
              <w:trPr>
                <w:trHeight w:val="327"/>
              </w:trPr>
              <w:tc>
                <w:tcPr>
                  <w:tcW w:w="9162" w:type="dxa"/>
                  <w:gridSpan w:val="3"/>
                  <w:shd w:val="clear" w:color="auto" w:fill="C5D9F1"/>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СЕКТОР С ПРЕРАБОТВАЩА ПРОМИШЛЕНОСТ</w:t>
                  </w:r>
                </w:p>
              </w:tc>
            </w:tr>
            <w:tr>
              <w:tblPrEx>
                <w:tblW w:w="9122" w:type="dxa"/>
                <w:tblCellMar>
                  <w:top w:w="15" w:type="dxa"/>
                  <w:left w:w="15" w:type="dxa"/>
                  <w:bottom w:w="15" w:type="dxa"/>
                  <w:right w:w="15" w:type="dxa"/>
                </w:tblCellMar>
                <w:tblLook w:val="05E0"/>
              </w:tblPrEx>
              <w:trPr>
                <w:trHeight w:val="327"/>
              </w:trPr>
              <w:tc>
                <w:tcPr>
                  <w:tcW w:w="2673"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Раздел</w:t>
                  </w:r>
                </w:p>
              </w:tc>
              <w:tc>
                <w:tcPr>
                  <w:tcW w:w="2673"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Група</w:t>
                  </w:r>
                </w:p>
              </w:tc>
              <w:tc>
                <w:tcPr>
                  <w:tcW w:w="3895"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Клас по КИД 2008</w:t>
                  </w:r>
                </w:p>
              </w:tc>
            </w:tr>
            <w:tr>
              <w:tblPrEx>
                <w:tblW w:w="9122" w:type="dxa"/>
                <w:tblCellMar>
                  <w:top w:w="15" w:type="dxa"/>
                  <w:left w:w="15" w:type="dxa"/>
                  <w:bottom w:w="15" w:type="dxa"/>
                  <w:right w:w="15" w:type="dxa"/>
                </w:tblCellMar>
                <w:tblLook w:val="05E0"/>
              </w:tblPrEx>
              <w:trPr>
                <w:trHeight w:val="610"/>
              </w:trPr>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bCs/>
                      <w:i/>
                      <w:iCs/>
                      <w:smallCaps w:val="0"/>
                      <w:color w:val="000000"/>
                      <w:szCs w:val="24"/>
                    </w:rPr>
                    <w:t>Производство на хранителни продукти</w:t>
                  </w: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w:t>
                  </w:r>
                  <w:r>
                    <w:rPr>
                      <w:rFonts w:ascii="Times New Roman" w:eastAsia="Times New Roman" w:hAnsi="Times New Roman" w:cs="Times New Roman"/>
                      <w:b w:val="0"/>
                      <w:bCs w:val="0"/>
                      <w:i/>
                      <w:iCs/>
                      <w:smallCaps w:val="0"/>
                      <w:color w:val="000000"/>
                      <w:szCs w:val="24"/>
                    </w:rPr>
                    <w:t xml:space="preserve"> Производство и преработка на месо; производство на месни продукти, без готови ястия</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10.11 Производство и преработка на месо, без месо от домашни  птици</w:t>
                  </w:r>
                </w:p>
              </w:tc>
            </w:tr>
            <w:tr>
              <w:tblPrEx>
                <w:tblW w:w="9122" w:type="dxa"/>
                <w:tblCellMar>
                  <w:top w:w="15" w:type="dxa"/>
                  <w:left w:w="15" w:type="dxa"/>
                  <w:bottom w:w="15" w:type="dxa"/>
                  <w:right w:w="15" w:type="dxa"/>
                </w:tblCellMar>
                <w:tblLook w:val="05E0"/>
              </w:tblPrEx>
              <w:trPr>
                <w:trHeight w:val="625"/>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10.12 Производство и преработка на месо от домашни птици</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10.13 Производство на месни продукти, без готови ястия</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10.3 </w:t>
                  </w:r>
                  <w:r>
                    <w:rPr>
                      <w:rFonts w:ascii="Times New Roman" w:eastAsia="Times New Roman" w:hAnsi="Times New Roman" w:cs="Times New Roman"/>
                      <w:b w:val="0"/>
                      <w:bCs w:val="0"/>
                      <w:i/>
                      <w:iCs/>
                      <w:smallCaps w:val="0"/>
                      <w:color w:val="000000"/>
                      <w:szCs w:val="24"/>
                    </w:rPr>
                    <w:t>Преработка и консервиране на плодове и зеленчуци,</w:t>
                  </w:r>
                  <w:r>
                    <w:rPr>
                      <w:rFonts w:ascii="Times New Roman" w:eastAsia="Times New Roman" w:hAnsi="Times New Roman" w:cs="Times New Roman"/>
                      <w:b w:val="0"/>
                      <w:bCs w:val="0"/>
                      <w:i/>
                      <w:iCs/>
                      <w:smallCaps w:val="0"/>
                      <w:color w:val="000000"/>
                      <w:szCs w:val="24"/>
                    </w:rPr>
                    <w:br/>
                  </w:r>
                  <w:r>
                    <w:rPr>
                      <w:rFonts w:ascii="Times New Roman" w:eastAsia="Times New Roman" w:hAnsi="Times New Roman" w:cs="Times New Roman"/>
                      <w:b w:val="0"/>
                      <w:bCs w:val="0"/>
                      <w:i/>
                      <w:iCs/>
                      <w:smallCaps w:val="0"/>
                      <w:color w:val="000000"/>
                      <w:szCs w:val="24"/>
                    </w:rPr>
                    <w:t> без готови ястия</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10.31 Преработка и консервиране на картофи</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10.32 Производство на плодови и зеленчукови сокове</w:t>
                  </w:r>
                </w:p>
              </w:tc>
            </w:tr>
            <w:tr>
              <w:tblPrEx>
                <w:tblW w:w="9122" w:type="dxa"/>
                <w:tblCellMar>
                  <w:top w:w="15" w:type="dxa"/>
                  <w:left w:w="15" w:type="dxa"/>
                  <w:bottom w:w="15" w:type="dxa"/>
                  <w:right w:w="15" w:type="dxa"/>
                </w:tblCellMar>
                <w:tblLook w:val="05E0"/>
              </w:tblPrEx>
              <w:trPr>
                <w:trHeight w:val="758"/>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10.39 Преработка и консервиране на други плодове и зеленчуци,  без готови ястия</w:t>
                  </w:r>
                </w:p>
              </w:tc>
            </w:tr>
            <w:tr>
              <w:tblPrEx>
                <w:tblW w:w="9122" w:type="dxa"/>
                <w:tblCellMar>
                  <w:top w:w="15" w:type="dxa"/>
                  <w:left w:w="15" w:type="dxa"/>
                  <w:bottom w:w="15" w:type="dxa"/>
                  <w:right w:w="15" w:type="dxa"/>
                </w:tblCellMar>
                <w:tblLook w:val="05E0"/>
              </w:tblPrEx>
              <w:trPr>
                <w:trHeight w:val="758"/>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10.4 </w:t>
                  </w:r>
                  <w:r>
                    <w:rPr>
                      <w:rFonts w:ascii="Times New Roman" w:eastAsia="Times New Roman" w:hAnsi="Times New Roman" w:cs="Times New Roman"/>
                      <w:b w:val="0"/>
                      <w:bCs w:val="0"/>
                      <w:i/>
                      <w:iCs/>
                      <w:smallCaps w:val="0"/>
                      <w:color w:val="000000"/>
                      <w:szCs w:val="24"/>
                    </w:rPr>
                    <w:t>Производство на растителни и животински масла и мазнини</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10.41 Производство на растителни и животински масла</w:t>
                  </w: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и мазнини, без маргарин</w:t>
                  </w:r>
                </w:p>
              </w:tc>
            </w:tr>
            <w:tr>
              <w:tblPrEx>
                <w:tblW w:w="9122" w:type="dxa"/>
                <w:tblCellMar>
                  <w:top w:w="15" w:type="dxa"/>
                  <w:left w:w="15" w:type="dxa"/>
                  <w:bottom w:w="15" w:type="dxa"/>
                  <w:right w:w="15" w:type="dxa"/>
                </w:tblCellMar>
                <w:tblLook w:val="05E0"/>
              </w:tblPrEx>
              <w:trPr>
                <w:trHeight w:val="743"/>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10.5 </w:t>
                  </w:r>
                  <w:r>
                    <w:rPr>
                      <w:rFonts w:ascii="Times New Roman" w:eastAsia="Times New Roman" w:hAnsi="Times New Roman" w:cs="Times New Roman"/>
                      <w:b w:val="0"/>
                      <w:bCs w:val="0"/>
                      <w:i/>
                      <w:iCs/>
                      <w:smallCaps w:val="0"/>
                      <w:color w:val="000000"/>
                      <w:szCs w:val="24"/>
                    </w:rPr>
                    <w:t>Производство на мляко и млечни продукти</w:t>
                  </w:r>
                </w:p>
              </w:tc>
              <w:tc>
                <w:tcPr>
                  <w:tcW w:w="3895"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10.51 Производство на мляко и млечни продукти, без сладолед</w:t>
                  </w:r>
                </w:p>
              </w:tc>
            </w:tr>
            <w:tr>
              <w:tblPrEx>
                <w:tblW w:w="9122" w:type="dxa"/>
                <w:tblCellMar>
                  <w:top w:w="15" w:type="dxa"/>
                  <w:left w:w="15" w:type="dxa"/>
                  <w:bottom w:w="15" w:type="dxa"/>
                  <w:right w:w="15" w:type="dxa"/>
                </w:tblCellMar>
                <w:tblLook w:val="05E0"/>
              </w:tblPrEx>
              <w:trPr>
                <w:trHeight w:val="43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10.52 Производство на сладолед</w:t>
                  </w:r>
                </w:p>
              </w:tc>
            </w:tr>
            <w:tr>
              <w:tblPrEx>
                <w:tblW w:w="9122" w:type="dxa"/>
                <w:tblCellMar>
                  <w:top w:w="15" w:type="dxa"/>
                  <w:left w:w="15" w:type="dxa"/>
                  <w:bottom w:w="15" w:type="dxa"/>
                  <w:right w:w="15" w:type="dxa"/>
                </w:tblCellMar>
                <w:tblLook w:val="05E0"/>
              </w:tblPrEx>
              <w:trPr>
                <w:trHeight w:val="402"/>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w:t>
                  </w:r>
                  <w:r>
                    <w:rPr>
                      <w:rFonts w:ascii="Times New Roman" w:eastAsia="Times New Roman" w:hAnsi="Times New Roman" w:cs="Times New Roman"/>
                      <w:b w:val="0"/>
                      <w:bCs w:val="0"/>
                      <w:i/>
                      <w:iCs/>
                      <w:smallCaps w:val="0"/>
                      <w:color w:val="000000"/>
                      <w:szCs w:val="24"/>
                    </w:rPr>
                    <w:t xml:space="preserve"> Производство на мелничарски продукти, нишесте</w:t>
                  </w:r>
                  <w:r>
                    <w:rPr>
                      <w:rFonts w:ascii="Times New Roman" w:eastAsia="Times New Roman" w:hAnsi="Times New Roman" w:cs="Times New Roman"/>
                      <w:b w:val="0"/>
                      <w:bCs w:val="0"/>
                      <w:i/>
                      <w:iCs/>
                      <w:smallCaps w:val="0"/>
                      <w:color w:val="000000"/>
                      <w:szCs w:val="24"/>
                    </w:rPr>
                    <w:br/>
                  </w:r>
                  <w:r>
                    <w:rPr>
                      <w:rFonts w:ascii="Times New Roman" w:eastAsia="Times New Roman" w:hAnsi="Times New Roman" w:cs="Times New Roman"/>
                      <w:b w:val="0"/>
                      <w:bCs w:val="0"/>
                      <w:i/>
                      <w:iCs/>
                      <w:smallCaps w:val="0"/>
                      <w:color w:val="000000"/>
                      <w:szCs w:val="24"/>
                    </w:rPr>
                    <w:t> и нишестени продукти</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10.61 Производство на мелничарски продукти</w:t>
                  </w:r>
                </w:p>
              </w:tc>
            </w:tr>
            <w:tr>
              <w:tblPrEx>
                <w:tblW w:w="9122" w:type="dxa"/>
                <w:tblCellMar>
                  <w:top w:w="15" w:type="dxa"/>
                  <w:left w:w="15" w:type="dxa"/>
                  <w:bottom w:w="15" w:type="dxa"/>
                  <w:right w:w="15" w:type="dxa"/>
                </w:tblCellMar>
                <w:tblLook w:val="05E0"/>
              </w:tblPrEx>
              <w:trPr>
                <w:trHeight w:val="550"/>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10.62 Производство на нишесте и нишестени продукти</w:t>
                  </w:r>
                </w:p>
              </w:tc>
            </w:tr>
            <w:tr>
              <w:tblPrEx>
                <w:tblW w:w="9122" w:type="dxa"/>
                <w:tblCellMar>
                  <w:top w:w="15" w:type="dxa"/>
                  <w:left w:w="15" w:type="dxa"/>
                  <w:bottom w:w="15" w:type="dxa"/>
                  <w:right w:w="15" w:type="dxa"/>
                </w:tblCellMar>
                <w:tblLook w:val="05E0"/>
              </w:tblPrEx>
              <w:trPr>
                <w:trHeight w:val="847"/>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10.9 </w:t>
                  </w:r>
                  <w:r>
                    <w:rPr>
                      <w:rFonts w:ascii="Times New Roman" w:eastAsia="Times New Roman" w:hAnsi="Times New Roman" w:cs="Times New Roman"/>
                      <w:b w:val="0"/>
                      <w:bCs w:val="0"/>
                      <w:i/>
                      <w:iCs/>
                      <w:smallCaps w:val="0"/>
                      <w:color w:val="000000"/>
                      <w:szCs w:val="24"/>
                    </w:rPr>
                    <w:t>Производство на готови храни за животни</w:t>
                  </w:r>
                </w:p>
              </w:tc>
              <w:tc>
                <w:tcPr>
                  <w:tcW w:w="3895"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10.91 Производство на готови храни (фуражи) за селскостопански животни</w:t>
                  </w:r>
                </w:p>
              </w:tc>
            </w:tr>
            <w:tr>
              <w:tblPrEx>
                <w:tblW w:w="9122" w:type="dxa"/>
                <w:tblCellMar>
                  <w:top w:w="15" w:type="dxa"/>
                  <w:left w:w="15" w:type="dxa"/>
                  <w:bottom w:w="15" w:type="dxa"/>
                  <w:right w:w="15" w:type="dxa"/>
                </w:tblCellMar>
                <w:tblLook w:val="05E0"/>
              </w:tblPrEx>
              <w:trPr>
                <w:trHeight w:val="327"/>
              </w:trPr>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11 </w:t>
                  </w:r>
                  <w:r>
                    <w:rPr>
                      <w:rFonts w:ascii="Times New Roman" w:eastAsia="Times New Roman" w:hAnsi="Times New Roman" w:cs="Times New Roman"/>
                      <w:b/>
                      <w:bCs/>
                      <w:i/>
                      <w:iCs/>
                      <w:smallCaps w:val="0"/>
                      <w:color w:val="000000"/>
                      <w:szCs w:val="24"/>
                    </w:rPr>
                    <w:t>Производство на напитки</w:t>
                  </w:r>
                </w:p>
              </w:tc>
              <w:tc>
                <w:tcPr>
                  <w:tcW w:w="2673" w:type="dxa"/>
                  <w:noWrap w:val="0"/>
                  <w:tcMar>
                    <w:top w:w="20" w:type="dxa"/>
                    <w:left w:w="20" w:type="dxa"/>
                    <w:bottom w:w="20" w:type="dxa"/>
                    <w:right w:w="2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11.02 Производство на вина от грозде</w:t>
                  </w:r>
                </w:p>
              </w:tc>
            </w:tr>
            <w:tr>
              <w:tblPrEx>
                <w:tblW w:w="9122" w:type="dxa"/>
                <w:tblCellMar>
                  <w:top w:w="15" w:type="dxa"/>
                  <w:left w:w="15" w:type="dxa"/>
                  <w:bottom w:w="15" w:type="dxa"/>
                  <w:right w:w="15" w:type="dxa"/>
                </w:tblCellMar>
                <w:tblLook w:val="05E0"/>
              </w:tblPrEx>
              <w:trPr>
                <w:trHeight w:val="734"/>
              </w:trPr>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20 </w:t>
                  </w:r>
                  <w:r>
                    <w:rPr>
                      <w:rFonts w:ascii="Times New Roman" w:eastAsia="Times New Roman" w:hAnsi="Times New Roman" w:cs="Times New Roman"/>
                      <w:b/>
                      <w:bCs/>
                      <w:i/>
                      <w:iCs/>
                      <w:smallCaps w:val="0"/>
                      <w:color w:val="000000"/>
                      <w:szCs w:val="24"/>
                    </w:rPr>
                    <w:t>Производство на химични продукти</w:t>
                  </w:r>
                </w:p>
              </w:tc>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20.5 </w:t>
                  </w:r>
                  <w:r>
                    <w:rPr>
                      <w:rFonts w:ascii="Times New Roman" w:eastAsia="Times New Roman" w:hAnsi="Times New Roman" w:cs="Times New Roman"/>
                      <w:b w:val="0"/>
                      <w:bCs w:val="0"/>
                      <w:i/>
                      <w:iCs/>
                      <w:smallCaps w:val="0"/>
                      <w:color w:val="000000"/>
                      <w:szCs w:val="24"/>
                    </w:rPr>
                    <w:t>Производство на други химични продукти</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20.53 Производство на етерични масла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5" w:name="_Toc256000135"/>
      <w:r>
        <w:t>План за оценка</w:t>
      </w:r>
      <w:bookmarkEnd w:id="135"/>
    </w:p>
    <w:p>
      <w:pPr>
        <w:pStyle w:val="Heading2"/>
      </w:pPr>
      <w:bookmarkStart w:id="136" w:name="_Toc256000136"/>
      <w:r>
        <w:t>Цели и задачи</w:t>
      </w:r>
      <w:bookmarkEnd w:id="136"/>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7" w:name="_Toc256000137"/>
      <w:r>
        <w:t>Управление и координация</w:t>
      </w:r>
      <w:bookmarkEnd w:id="137"/>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8" w:name="_Toc256000138"/>
      <w:r>
        <w:t>Предмет на оценката и дейности</w:t>
      </w:r>
      <w:bookmarkEnd w:id="138"/>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9" w:name="_Toc256000139"/>
      <w:r>
        <w:t>Данни и информация</w:t>
      </w:r>
      <w:bookmarkEnd w:id="139"/>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40" w:name="_Toc256000140"/>
      <w:r>
        <w:t>График</w:t>
      </w:r>
      <w:bookmarkEnd w:id="140"/>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Комуникация</w:t>
      </w:r>
      <w:bookmarkEnd w:id="141"/>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2" w:name="_Toc256000142"/>
      <w:r>
        <w:t>Ресурси</w:t>
      </w:r>
      <w:bookmarkEnd w:id="142"/>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3" w:name="_Toc256000143"/>
      <w:r>
        <w:t>Финансов план</w:t>
      </w:r>
      <w:bookmarkEnd w:id="143"/>
    </w:p>
    <w:p>
      <w:pPr>
        <w:pStyle w:val="Heading2"/>
      </w:pPr>
      <w:r>
        <w:t xml:space="preserve"> </w:t>
      </w:r>
      <w:bookmarkStart w:id="144" w:name="_Toc256000144"/>
      <w:r>
        <w:t>Годишно участие на ЕЗФРСР в (в евро)</w:t>
      </w:r>
      <w:bookmarkEnd w:id="1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200"/>
        <w:gridCol w:w="200"/>
        <w:gridCol w:w="200"/>
        <w:gridCol w:w="200"/>
        <w:gridCol w:w="200"/>
        <w:gridCol w:w="200"/>
        <w:gridCol w:w="200"/>
        <w:gridCol w:w="200"/>
        <w:gridCol w:w="200"/>
        <w:gridCol w:w="200"/>
        <w:gridCol w:w="2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200" w:type="dxa"/>
            <w:shd w:val="clear" w:color="auto" w:fill="C0C0C0"/>
            <w:noWrap w:val="0"/>
            <w:tcMar>
              <w:top w:w="60" w:type="dxa"/>
            </w:tcMar>
            <w:vAlign w:val="top"/>
          </w:tcPr>
          <w:p>
            <w:pPr>
              <w:jc w:val="center"/>
              <w:rPr>
                <w:b/>
                <w:i w:val="0"/>
              </w:rPr>
            </w:pPr>
            <w:r>
              <w:rPr>
                <w:b/>
                <w:i w:val="0"/>
              </w:rPr>
              <w:t>Видове региони и допълнително разпределени средства</w:t>
            </w:r>
          </w:p>
        </w:tc>
        <w:tc>
          <w:tcPr>
            <w:tcW w:w="200" w:type="dxa"/>
            <w:shd w:val="clear" w:color="auto" w:fill="C0C0C0"/>
            <w:noWrap w:val="0"/>
            <w:tcMar>
              <w:top w:w="60" w:type="dxa"/>
            </w:tcMar>
            <w:vAlign w:val="top"/>
          </w:tcPr>
          <w:p>
            <w:pPr>
              <w:jc w:val="center"/>
              <w:rPr>
                <w:b/>
                <w:i w:val="0"/>
              </w:rPr>
            </w:pPr>
            <w:r>
              <w:rPr>
                <w:b/>
                <w:i w:val="0"/>
              </w:rPr>
              <w:t>2014</w:t>
            </w:r>
          </w:p>
        </w:tc>
        <w:tc>
          <w:tcPr>
            <w:tcW w:w="200" w:type="dxa"/>
            <w:shd w:val="clear" w:color="auto" w:fill="C0C0C0"/>
            <w:noWrap w:val="0"/>
            <w:tcMar>
              <w:top w:w="60" w:type="dxa"/>
            </w:tcMar>
            <w:vAlign w:val="top"/>
          </w:tcPr>
          <w:p>
            <w:pPr>
              <w:jc w:val="center"/>
              <w:rPr>
                <w:b/>
                <w:i w:val="0"/>
              </w:rPr>
            </w:pPr>
            <w:r>
              <w:rPr>
                <w:b/>
                <w:i w:val="0"/>
              </w:rPr>
              <w:t>2015</w:t>
            </w:r>
          </w:p>
        </w:tc>
        <w:tc>
          <w:tcPr>
            <w:tcW w:w="200" w:type="dxa"/>
            <w:shd w:val="clear" w:color="auto" w:fill="C0C0C0"/>
            <w:noWrap w:val="0"/>
            <w:tcMar>
              <w:top w:w="60" w:type="dxa"/>
            </w:tcMar>
            <w:vAlign w:val="top"/>
          </w:tcPr>
          <w:p>
            <w:pPr>
              <w:jc w:val="center"/>
              <w:rPr>
                <w:b/>
                <w:i w:val="0"/>
              </w:rPr>
            </w:pPr>
            <w:r>
              <w:rPr>
                <w:b/>
                <w:i w:val="0"/>
              </w:rPr>
              <w:t>2016</w:t>
            </w:r>
          </w:p>
        </w:tc>
        <w:tc>
          <w:tcPr>
            <w:tcW w:w="200" w:type="dxa"/>
            <w:shd w:val="clear" w:color="auto" w:fill="C0C0C0"/>
            <w:noWrap w:val="0"/>
            <w:tcMar>
              <w:top w:w="60" w:type="dxa"/>
            </w:tcMar>
            <w:vAlign w:val="top"/>
          </w:tcPr>
          <w:p>
            <w:pPr>
              <w:jc w:val="center"/>
              <w:rPr>
                <w:b/>
                <w:i w:val="0"/>
              </w:rPr>
            </w:pPr>
            <w:r>
              <w:rPr>
                <w:b/>
                <w:i w:val="0"/>
              </w:rPr>
              <w:t>2017</w:t>
            </w:r>
          </w:p>
        </w:tc>
        <w:tc>
          <w:tcPr>
            <w:tcW w:w="200" w:type="dxa"/>
            <w:shd w:val="clear" w:color="auto" w:fill="C0C0C0"/>
            <w:noWrap w:val="0"/>
            <w:tcMar>
              <w:top w:w="60" w:type="dxa"/>
            </w:tcMar>
            <w:vAlign w:val="top"/>
          </w:tcPr>
          <w:p>
            <w:pPr>
              <w:jc w:val="center"/>
              <w:rPr>
                <w:b/>
                <w:i w:val="0"/>
              </w:rPr>
            </w:pPr>
            <w:r>
              <w:rPr>
                <w:b/>
                <w:i w:val="0"/>
              </w:rPr>
              <w:t>2018</w:t>
            </w:r>
          </w:p>
        </w:tc>
        <w:tc>
          <w:tcPr>
            <w:tcW w:w="200" w:type="dxa"/>
            <w:shd w:val="clear" w:color="auto" w:fill="C0C0C0"/>
            <w:noWrap w:val="0"/>
            <w:tcMar>
              <w:top w:w="60" w:type="dxa"/>
            </w:tcMar>
            <w:vAlign w:val="top"/>
          </w:tcPr>
          <w:p>
            <w:pPr>
              <w:jc w:val="center"/>
              <w:rPr>
                <w:b/>
                <w:i w:val="0"/>
              </w:rPr>
            </w:pPr>
            <w:r>
              <w:rPr>
                <w:b/>
                <w:i w:val="0"/>
              </w:rPr>
              <w:t>2019</w:t>
            </w:r>
          </w:p>
        </w:tc>
        <w:tc>
          <w:tcPr>
            <w:tcW w:w="200" w:type="dxa"/>
            <w:shd w:val="clear" w:color="auto" w:fill="C0C0C0"/>
            <w:noWrap w:val="0"/>
            <w:tcMar>
              <w:top w:w="60" w:type="dxa"/>
            </w:tcMar>
            <w:vAlign w:val="top"/>
          </w:tcPr>
          <w:p>
            <w:pPr>
              <w:jc w:val="center"/>
              <w:rPr>
                <w:b/>
                <w:i w:val="0"/>
              </w:rPr>
            </w:pPr>
            <w:r>
              <w:rPr>
                <w:b/>
                <w:i w:val="0"/>
              </w:rPr>
              <w:t>2020</w:t>
            </w:r>
          </w:p>
        </w:tc>
        <w:tc>
          <w:tcPr>
            <w:tcW w:w="200" w:type="dxa"/>
            <w:shd w:val="clear" w:color="auto" w:fill="C0C0C0"/>
            <w:noWrap w:val="0"/>
            <w:tcMar>
              <w:top w:w="60" w:type="dxa"/>
            </w:tcMar>
            <w:vAlign w:val="top"/>
          </w:tcPr>
          <w:p>
            <w:pPr>
              <w:jc w:val="center"/>
              <w:rPr>
                <w:b/>
                <w:i w:val="0"/>
              </w:rPr>
            </w:pPr>
            <w:r>
              <w:rPr>
                <w:b/>
                <w:i w:val="0"/>
              </w:rPr>
              <w:t>2021</w:t>
            </w:r>
          </w:p>
        </w:tc>
        <w:tc>
          <w:tcPr>
            <w:tcW w:w="200" w:type="dxa"/>
            <w:shd w:val="clear" w:color="auto" w:fill="C0C0C0"/>
            <w:noWrap w:val="0"/>
            <w:tcMar>
              <w:top w:w="60" w:type="dxa"/>
            </w:tcMar>
            <w:vAlign w:val="top"/>
          </w:tcPr>
          <w:p>
            <w:pPr>
              <w:jc w:val="center"/>
              <w:rPr>
                <w:b/>
                <w:i w:val="0"/>
              </w:rPr>
            </w:pPr>
            <w:r>
              <w:rPr>
                <w:b/>
                <w:i w:val="0"/>
              </w:rPr>
              <w:t>2022</w:t>
            </w:r>
          </w:p>
        </w:tc>
        <w:tc>
          <w:tcPr>
            <w:tcW w:w="200" w:type="dxa"/>
            <w:shd w:val="clear" w:color="auto" w:fill="C0C0C0"/>
            <w:noWrap w:val="0"/>
            <w:tcMar>
              <w:top w:w="60" w:type="dxa"/>
            </w:tcMar>
            <w:vAlign w:val="top"/>
          </w:tcPr>
          <w:p>
            <w:pPr>
              <w:jc w:val="center"/>
              <w:rPr>
                <w:b w:val="0"/>
                <w:i w:val="0"/>
              </w:rPr>
            </w:pPr>
            <w:r>
              <w:rPr>
                <w:b/>
                <w:i w:val="0"/>
              </w:rPr>
              <w:t>Total</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502 807 341,00</w:t>
            </w:r>
          </w:p>
        </w:tc>
        <w:tc>
          <w:tcPr>
            <w:tcW w:w="200" w:type="dxa"/>
            <w:shd w:val="clear" w:color="auto" w:fill="FFFFFF"/>
            <w:noWrap w:val="0"/>
            <w:tcMar>
              <w:top w:w="60" w:type="dxa"/>
            </w:tcMar>
            <w:vAlign w:val="top"/>
          </w:tcPr>
          <w:p>
            <w:pPr>
              <w:jc w:val="right"/>
              <w:rPr>
                <w:b w:val="0"/>
                <w:i w:val="0"/>
                <w:sz w:val="16"/>
              </w:rPr>
            </w:pPr>
            <w:r>
              <w:rPr>
                <w:b w:val="0"/>
                <w:i w:val="0"/>
                <w:sz w:val="16"/>
              </w:rPr>
              <w:t>502 357 057,00</w:t>
            </w:r>
          </w:p>
        </w:tc>
        <w:tc>
          <w:tcPr>
            <w:tcW w:w="200" w:type="dxa"/>
            <w:shd w:val="clear" w:color="auto" w:fill="FFFFFF"/>
            <w:noWrap w:val="0"/>
            <w:tcMar>
              <w:top w:w="60" w:type="dxa"/>
            </w:tcMar>
            <w:vAlign w:val="top"/>
          </w:tcPr>
          <w:p>
            <w:pPr>
              <w:jc w:val="right"/>
              <w:rPr>
                <w:b w:val="0"/>
                <w:i w:val="0"/>
                <w:sz w:val="16"/>
              </w:rPr>
            </w:pPr>
            <w:r>
              <w:rPr>
                <w:b w:val="0"/>
                <w:i w:val="0"/>
                <w:sz w:val="16"/>
              </w:rPr>
              <w:t>334 147 994,00</w:t>
            </w:r>
          </w:p>
        </w:tc>
        <w:tc>
          <w:tcPr>
            <w:tcW w:w="200" w:type="dxa"/>
            <w:shd w:val="clear" w:color="auto" w:fill="FFFFFF"/>
            <w:noWrap w:val="0"/>
            <w:tcMar>
              <w:top w:w="60" w:type="dxa"/>
            </w:tcMar>
            <w:vAlign w:val="top"/>
          </w:tcPr>
          <w:p>
            <w:pPr>
              <w:jc w:val="right"/>
              <w:rPr>
                <w:b w:val="0"/>
                <w:i w:val="0"/>
                <w:sz w:val="16"/>
              </w:rPr>
            </w:pPr>
            <w:r>
              <w:rPr>
                <w:b w:val="0"/>
                <w:i w:val="0"/>
                <w:sz w:val="16"/>
              </w:rPr>
              <w:t>333 680 052,00</w:t>
            </w:r>
          </w:p>
        </w:tc>
        <w:tc>
          <w:tcPr>
            <w:tcW w:w="200" w:type="dxa"/>
            <w:shd w:val="clear" w:color="auto" w:fill="FFFFFF"/>
            <w:noWrap w:val="0"/>
            <w:tcMar>
              <w:top w:w="60" w:type="dxa"/>
            </w:tcMar>
            <w:vAlign w:val="top"/>
          </w:tcPr>
          <w:p>
            <w:pPr>
              <w:jc w:val="right"/>
              <w:rPr>
                <w:b w:val="0"/>
                <w:i w:val="0"/>
                <w:sz w:val="16"/>
              </w:rPr>
            </w:pPr>
            <w:r>
              <w:rPr>
                <w:b w:val="0"/>
                <w:i w:val="0"/>
                <w:sz w:val="16"/>
              </w:rPr>
              <w:t>333 187 306,00</w:t>
            </w:r>
          </w:p>
        </w:tc>
        <w:tc>
          <w:tcPr>
            <w:tcW w:w="200" w:type="dxa"/>
            <w:shd w:val="clear" w:color="auto" w:fill="FFFFFF"/>
            <w:noWrap w:val="0"/>
            <w:tcMar>
              <w:top w:w="60" w:type="dxa"/>
            </w:tcMar>
            <w:vAlign w:val="top"/>
          </w:tcPr>
          <w:p>
            <w:pPr>
              <w:jc w:val="right"/>
              <w:rPr>
                <w:b w:val="0"/>
                <w:i w:val="0"/>
                <w:sz w:val="16"/>
              </w:rPr>
            </w:pPr>
            <w:r>
              <w:rPr>
                <w:b w:val="0"/>
                <w:i w:val="0"/>
                <w:sz w:val="16"/>
              </w:rPr>
              <w:t>332 604 216,00</w:t>
            </w:r>
          </w:p>
        </w:tc>
        <w:tc>
          <w:tcPr>
            <w:tcW w:w="200" w:type="dxa"/>
            <w:shd w:val="clear" w:color="auto" w:fill="FFFFFF"/>
            <w:noWrap w:val="0"/>
            <w:tcMar>
              <w:top w:w="60" w:type="dxa"/>
            </w:tcMar>
            <w:vAlign w:val="top"/>
          </w:tcPr>
          <w:p>
            <w:pPr>
              <w:jc w:val="right"/>
              <w:rPr>
                <w:b w:val="0"/>
                <w:i w:val="0"/>
                <w:sz w:val="16"/>
              </w:rPr>
            </w:pPr>
            <w:r>
              <w:rPr>
                <w:b w:val="0"/>
                <w:i w:val="0"/>
                <w:sz w:val="16"/>
              </w:rPr>
              <w:t>276 362 304,00</w:t>
            </w:r>
          </w:p>
        </w:tc>
        <w:tc>
          <w:tcPr>
            <w:tcW w:w="200" w:type="dxa"/>
            <w:shd w:val="clear" w:color="auto" w:fill="FFFFFF"/>
            <w:noWrap w:val="0"/>
            <w:tcMar>
              <w:top w:w="60" w:type="dxa"/>
            </w:tcMar>
            <w:vAlign w:val="top"/>
          </w:tcPr>
          <w:p>
            <w:pPr>
              <w:jc w:val="right"/>
              <w:rPr>
                <w:b/>
                <w:i w:val="0"/>
                <w:sz w:val="16"/>
              </w:rPr>
            </w:pPr>
            <w:r>
              <w:rPr>
                <w:b w:val="0"/>
                <w:i w:val="0"/>
                <w:sz w:val="16"/>
              </w:rPr>
              <w:t>282 162 644,00</w:t>
            </w:r>
          </w:p>
        </w:tc>
        <w:tc>
          <w:tcPr>
            <w:tcW w:w="200" w:type="dxa"/>
            <w:shd w:val="clear" w:color="auto" w:fill="FFFFFF"/>
            <w:noWrap w:val="0"/>
            <w:tcMar>
              <w:top w:w="60" w:type="dxa"/>
            </w:tcMar>
            <w:vAlign w:val="top"/>
          </w:tcPr>
          <w:p>
            <w:pPr>
              <w:jc w:val="right"/>
              <w:rPr>
                <w:b w:val="0"/>
                <w:i w:val="0"/>
                <w:sz w:val="16"/>
              </w:rPr>
            </w:pPr>
            <w:r>
              <w:rPr>
                <w:b/>
                <w:i w:val="0"/>
                <w:sz w:val="16"/>
              </w:rPr>
              <w:t>2 897 308 914,00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2 663 000,00</w:t>
            </w:r>
          </w:p>
        </w:tc>
        <w:tc>
          <w:tcPr>
            <w:tcW w:w="200" w:type="dxa"/>
            <w:shd w:val="clear" w:color="auto" w:fill="FFFFFF"/>
            <w:noWrap w:val="0"/>
            <w:tcMar>
              <w:top w:w="60" w:type="dxa"/>
            </w:tcMar>
            <w:vAlign w:val="top"/>
          </w:tcPr>
          <w:p>
            <w:pPr>
              <w:jc w:val="right"/>
              <w:rPr>
                <w:b w:val="0"/>
                <w:i w:val="0"/>
                <w:sz w:val="16"/>
              </w:rPr>
            </w:pPr>
            <w:r>
              <w:rPr>
                <w:b w:val="0"/>
                <w:i w:val="0"/>
                <w:sz w:val="16"/>
              </w:rPr>
              <w:t>6 262 000,00</w:t>
            </w:r>
          </w:p>
        </w:tc>
        <w:tc>
          <w:tcPr>
            <w:tcW w:w="200" w:type="dxa"/>
            <w:shd w:val="clear" w:color="auto" w:fill="FFFFFF"/>
            <w:noWrap w:val="0"/>
            <w:tcMar>
              <w:top w:w="60" w:type="dxa"/>
            </w:tcMar>
            <w:vAlign w:val="top"/>
          </w:tcPr>
          <w:p>
            <w:pPr>
              <w:jc w:val="right"/>
              <w:rPr>
                <w:b w:val="0"/>
                <w:i w:val="0"/>
                <w:sz w:val="16"/>
              </w:rPr>
            </w:pPr>
            <w:r>
              <w:rPr>
                <w:b w:val="0"/>
                <w:i w:val="0"/>
                <w:sz w:val="16"/>
              </w:rPr>
              <w:t>6 286 000,00</w:t>
            </w:r>
          </w:p>
        </w:tc>
        <w:tc>
          <w:tcPr>
            <w:tcW w:w="200" w:type="dxa"/>
            <w:shd w:val="clear" w:color="auto" w:fill="FFFFFF"/>
            <w:noWrap w:val="0"/>
            <w:tcMar>
              <w:top w:w="60" w:type="dxa"/>
            </w:tcMar>
            <w:vAlign w:val="top"/>
          </w:tcPr>
          <w:p>
            <w:pPr>
              <w:jc w:val="right"/>
              <w:rPr>
                <w:b w:val="0"/>
                <w:i w:val="0"/>
                <w:sz w:val="16"/>
              </w:rPr>
            </w:pPr>
            <w:r>
              <w:rPr>
                <w:b w:val="0"/>
                <w:i w:val="0"/>
                <w:sz w:val="16"/>
              </w:rPr>
              <w:t>6 336 000,00</w:t>
            </w:r>
          </w:p>
        </w:tc>
        <w:tc>
          <w:tcPr>
            <w:tcW w:w="200" w:type="dxa"/>
            <w:shd w:val="clear" w:color="auto" w:fill="FFFFFF"/>
            <w:noWrap w:val="0"/>
            <w:tcMar>
              <w:top w:w="60" w:type="dxa"/>
            </w:tcMar>
            <w:vAlign w:val="top"/>
          </w:tcPr>
          <w:p>
            <w:pPr>
              <w:jc w:val="right"/>
              <w:rPr>
                <w:b w:val="0"/>
                <w:i w:val="0"/>
                <w:sz w:val="16"/>
              </w:rPr>
            </w:pPr>
            <w:r>
              <w:rPr>
                <w:b w:val="0"/>
                <w:i w:val="0"/>
                <w:sz w:val="16"/>
              </w:rPr>
              <w:t>6 386 000,00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i w:val="0"/>
                <w:sz w:val="16"/>
              </w:rPr>
            </w:pPr>
            <w:r>
              <w:rPr>
                <w:b w:val="0"/>
                <w:i w:val="0"/>
                <w:sz w:val="16"/>
              </w:rPr>
              <w:t>1 866 000,00</w:t>
            </w:r>
          </w:p>
        </w:tc>
        <w:tc>
          <w:tcPr>
            <w:tcW w:w="200" w:type="dxa"/>
            <w:shd w:val="clear" w:color="auto" w:fill="FFFFFF"/>
            <w:noWrap w:val="0"/>
            <w:tcMar>
              <w:top w:w="60" w:type="dxa"/>
            </w:tcMar>
            <w:vAlign w:val="top"/>
          </w:tcPr>
          <w:p>
            <w:pPr>
              <w:jc w:val="right"/>
              <w:rPr>
                <w:b/>
                <w:i w:val="0"/>
                <w:sz w:val="16"/>
              </w:rPr>
            </w:pPr>
            <w:r>
              <w:rPr>
                <w:b/>
                <w:i w:val="0"/>
                <w:sz w:val="16"/>
              </w:rPr>
              <w:t>29 799 000,00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(без тези по линия на EURI)</w:t>
            </w:r>
          </w:p>
        </w:tc>
        <w:tc>
          <w:tcPr>
            <w:tcW w:w="200" w:type="dxa"/>
            <w:shd w:val="clear" w:color="auto" w:fill="C0C0C0"/>
            <w:noWrap w:val="0"/>
            <w:tcMar>
              <w:top w:w="60" w:type="dxa"/>
            </w:tcMar>
            <w:vAlign w:val="top"/>
          </w:tcPr>
          <w:p>
            <w:pPr>
              <w:jc w:val="right"/>
              <w:rPr>
                <w:b/>
                <w:i w:val="0"/>
                <w:sz w:val="16"/>
              </w:rPr>
            </w:pPr>
            <w:r>
              <w:rPr>
                <w:b/>
                <w:i w:val="0"/>
                <w:sz w:val="16"/>
              </w:rPr>
              <w:t>0,00</w:t>
            </w: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276 362 304,00</w:t>
            </w:r>
          </w:p>
        </w:tc>
        <w:tc>
          <w:tcPr>
            <w:tcW w:w="200" w:type="dxa"/>
            <w:shd w:val="clear" w:color="auto" w:fill="C0C0C0"/>
            <w:noWrap w:val="0"/>
            <w:tcMar>
              <w:top w:w="60" w:type="dxa"/>
            </w:tcMar>
            <w:vAlign w:val="top"/>
          </w:tcPr>
          <w:p>
            <w:pPr>
              <w:jc w:val="right"/>
              <w:rPr>
                <w:b/>
                <w:i w:val="0"/>
                <w:sz w:val="16"/>
              </w:rPr>
            </w:pPr>
            <w:r>
              <w:rPr>
                <w:b/>
                <w:i w:val="0"/>
                <w:sz w:val="16"/>
              </w:rPr>
              <w:t>284 028 644,00</w:t>
            </w:r>
          </w:p>
        </w:tc>
        <w:tc>
          <w:tcPr>
            <w:tcW w:w="200" w:type="dxa"/>
            <w:shd w:val="clear" w:color="auto" w:fill="C0C0C0"/>
            <w:noWrap w:val="0"/>
            <w:tcMar>
              <w:top w:w="60" w:type="dxa"/>
            </w:tcMar>
            <w:vAlign w:val="top"/>
          </w:tcPr>
          <w:p>
            <w:pPr>
              <w:jc w:val="right"/>
              <w:rPr>
                <w:b/>
                <w:i w:val="0"/>
                <w:sz w:val="16"/>
              </w:rPr>
            </w:pPr>
            <w:r>
              <w:rPr>
                <w:b/>
                <w:i w:val="0"/>
                <w:sz w:val="16"/>
              </w:rPr>
              <w:t>2 927 107 914,00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30 168 440,46</w:t>
            </w:r>
          </w:p>
        </w:tc>
        <w:tc>
          <w:tcPr>
            <w:tcW w:w="200" w:type="dxa"/>
            <w:shd w:val="clear" w:color="auto" w:fill="FFFFFF"/>
            <w:noWrap w:val="0"/>
            <w:tcMar>
              <w:top w:w="60" w:type="dxa"/>
            </w:tcMar>
            <w:vAlign w:val="top"/>
          </w:tcPr>
          <w:p>
            <w:pPr>
              <w:jc w:val="right"/>
              <w:rPr>
                <w:b/>
                <w:i w:val="0"/>
                <w:sz w:val="16"/>
              </w:rPr>
            </w:pPr>
            <w:r>
              <w:rPr>
                <w:b/>
                <w:i w:val="0"/>
                <w:sz w:val="16"/>
              </w:rPr>
              <w:t>30 141 423,42</w:t>
            </w:r>
          </w:p>
        </w:tc>
        <w:tc>
          <w:tcPr>
            <w:tcW w:w="200" w:type="dxa"/>
            <w:shd w:val="clear" w:color="auto" w:fill="FFFFFF"/>
            <w:noWrap w:val="0"/>
            <w:tcMar>
              <w:top w:w="60" w:type="dxa"/>
            </w:tcMar>
            <w:vAlign w:val="top"/>
          </w:tcPr>
          <w:p>
            <w:pPr>
              <w:jc w:val="right"/>
              <w:rPr>
                <w:b/>
                <w:i w:val="0"/>
                <w:sz w:val="16"/>
              </w:rPr>
            </w:pPr>
            <w:r>
              <w:rPr>
                <w:b/>
                <w:i w:val="0"/>
                <w:sz w:val="16"/>
              </w:rPr>
              <w:t>20 048 879,64</w:t>
            </w:r>
          </w:p>
        </w:tc>
        <w:tc>
          <w:tcPr>
            <w:tcW w:w="200" w:type="dxa"/>
            <w:shd w:val="clear" w:color="auto" w:fill="FFFFFF"/>
            <w:noWrap w:val="0"/>
            <w:tcMar>
              <w:top w:w="60" w:type="dxa"/>
            </w:tcMar>
            <w:vAlign w:val="top"/>
          </w:tcPr>
          <w:p>
            <w:pPr>
              <w:jc w:val="right"/>
              <w:rPr>
                <w:b/>
                <w:i w:val="0"/>
                <w:sz w:val="16"/>
              </w:rPr>
            </w:pPr>
            <w:r>
              <w:rPr>
                <w:b/>
                <w:i w:val="0"/>
                <w:sz w:val="16"/>
              </w:rPr>
              <w:t>20 020 803,12</w:t>
            </w:r>
          </w:p>
        </w:tc>
        <w:tc>
          <w:tcPr>
            <w:tcW w:w="200" w:type="dxa"/>
            <w:shd w:val="clear" w:color="auto" w:fill="FFFFFF"/>
            <w:noWrap w:val="0"/>
            <w:tcMar>
              <w:top w:w="60" w:type="dxa"/>
            </w:tcMar>
            <w:vAlign w:val="top"/>
          </w:tcPr>
          <w:p>
            <w:pPr>
              <w:jc w:val="right"/>
              <w:rPr>
                <w:b/>
                <w:i w:val="0"/>
                <w:sz w:val="16"/>
              </w:rPr>
            </w:pPr>
            <w:r>
              <w:rPr>
                <w:b/>
                <w:i w:val="0"/>
                <w:sz w:val="16"/>
              </w:rPr>
              <w:t>19 991 238,36</w:t>
            </w:r>
          </w:p>
        </w:tc>
        <w:tc>
          <w:tcPr>
            <w:tcW w:w="200" w:type="dxa"/>
            <w:shd w:val="clear" w:color="auto" w:fill="FFFFFF"/>
            <w:noWrap w:val="0"/>
            <w:tcMar>
              <w:top w:w="60" w:type="dxa"/>
            </w:tcMar>
            <w:vAlign w:val="top"/>
          </w:tcPr>
          <w:p>
            <w:pPr>
              <w:jc w:val="right"/>
              <w:rPr>
                <w:b/>
                <w:i w:val="0"/>
                <w:sz w:val="16"/>
              </w:rPr>
            </w:pPr>
            <w:r>
              <w:rPr>
                <w:b/>
                <w:i w:val="0"/>
                <w:sz w:val="16"/>
              </w:rPr>
              <w:t>19 956 252,96</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val="0"/>
                <w:i w:val="0"/>
                <w:sz w:val="16"/>
              </w:rPr>
            </w:pPr>
            <w:r>
              <w:rPr>
                <w:b/>
                <w:i w:val="0"/>
                <w:sz w:val="16"/>
              </w:rPr>
              <w:t>140 327 037,96</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да) от Регламент (ЕС) № 1305/2013 - EURI(NGEU)/Операции, финансирани от допълнителните средства, посочени в член 58а, параграф 1</w:t>
            </w: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r>
              <w:rPr>
                <w:b w:val="0"/>
                <w:i w:val="0"/>
                <w:sz w:val="16"/>
              </w:rPr>
              <w:t>59 744 633,00</w:t>
            </w:r>
          </w:p>
        </w:tc>
        <w:tc>
          <w:tcPr>
            <w:tcW w:w="200" w:type="dxa"/>
            <w:shd w:val="clear" w:color="auto" w:fill="FFFFFF"/>
            <w:noWrap w:val="0"/>
            <w:tcMar>
              <w:top w:w="60" w:type="dxa"/>
            </w:tcMar>
            <w:vAlign w:val="top"/>
          </w:tcPr>
          <w:p>
            <w:pPr>
              <w:jc w:val="right"/>
              <w:rPr>
                <w:b/>
                <w:i w:val="0"/>
                <w:sz w:val="16"/>
              </w:rPr>
            </w:pPr>
            <w:r>
              <w:rPr>
                <w:b w:val="0"/>
                <w:i w:val="0"/>
                <w:sz w:val="16"/>
              </w:rPr>
              <w:t>142 192 228,00</w:t>
            </w:r>
          </w:p>
        </w:tc>
        <w:tc>
          <w:tcPr>
            <w:tcW w:w="200" w:type="dxa"/>
            <w:shd w:val="clear" w:color="auto" w:fill="FFFFFF"/>
            <w:noWrap w:val="0"/>
            <w:tcMar>
              <w:top w:w="60" w:type="dxa"/>
            </w:tcMar>
            <w:vAlign w:val="top"/>
          </w:tcPr>
          <w:p>
            <w:pPr>
              <w:jc w:val="right"/>
              <w:rPr>
                <w:b/>
                <w:i w:val="0"/>
                <w:sz w:val="16"/>
              </w:rPr>
            </w:pPr>
            <w:r>
              <w:rPr>
                <w:b/>
                <w:i w:val="0"/>
                <w:sz w:val="16"/>
              </w:rPr>
              <w:t>201 936 861,00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 EURI)</w:t>
            </w:r>
          </w:p>
        </w:tc>
        <w:tc>
          <w:tcPr>
            <w:tcW w:w="200" w:type="dxa"/>
            <w:shd w:val="clear" w:color="auto" w:fill="C0C0C0"/>
            <w:noWrap w:val="0"/>
            <w:tcMar>
              <w:top w:w="60" w:type="dxa"/>
            </w:tcMar>
            <w:vAlign w:val="top"/>
          </w:tcPr>
          <w:p>
            <w:pPr>
              <w:jc w:val="right"/>
              <w:rPr>
                <w:b/>
                <w:i w:val="0"/>
                <w:sz w:val="16"/>
              </w:rPr>
            </w:pP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336 106 937,00</w:t>
            </w:r>
          </w:p>
        </w:tc>
        <w:tc>
          <w:tcPr>
            <w:tcW w:w="200" w:type="dxa"/>
            <w:shd w:val="clear" w:color="auto" w:fill="C0C0C0"/>
            <w:noWrap w:val="0"/>
            <w:tcMar>
              <w:top w:w="60" w:type="dxa"/>
            </w:tcMar>
            <w:vAlign w:val="top"/>
          </w:tcPr>
          <w:p>
            <w:pPr>
              <w:jc w:val="right"/>
              <w:rPr>
                <w:b/>
                <w:i w:val="0"/>
                <w:sz w:val="16"/>
              </w:rPr>
            </w:pPr>
            <w:r>
              <w:rPr>
                <w:b/>
                <w:i w:val="0"/>
                <w:sz w:val="16"/>
              </w:rPr>
              <w:t>426 220 872,00</w:t>
            </w:r>
          </w:p>
        </w:tc>
        <w:tc>
          <w:tcPr>
            <w:tcW w:w="200" w:type="dxa"/>
            <w:shd w:val="clear" w:color="auto" w:fill="C0C0C0"/>
            <w:noWrap w:val="0"/>
            <w:tcMar>
              <w:top w:w="60" w:type="dxa"/>
            </w:tcMar>
            <w:vAlign w:val="top"/>
          </w:tcPr>
          <w:p>
            <w:pPr>
              <w:jc w:val="right"/>
              <w:rPr>
                <w:b w:val="0"/>
                <w:i w:val="0"/>
                <w:sz w:val="16"/>
              </w:rPr>
            </w:pPr>
            <w:r>
              <w:rPr>
                <w:b/>
                <w:i w:val="0"/>
                <w:sz w:val="16"/>
              </w:rPr>
              <w:t>3 129 044 775,00</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ЕЗФРСР и EURI,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1 495 537 954,40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на ЕЗФРСР и EURI,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47,80</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ЕЗФРСР,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1 404 817 954,40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ЕЗФРСР,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47,99</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EURI,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90 720 000,00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EURI,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44,92</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участието на ЕЗФРСР и EURI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1 138 684 619,00</w:t>
            </w:r>
          </w:p>
        </w:tc>
        <w:tc>
          <w:tcPr>
            <w:tcW w:w="1900" w:type="pct"/>
            <w:shd w:val="clear" w:color="auto" w:fill="C0C0C0"/>
            <w:noWrap w:val="0"/>
            <w:tcMar>
              <w:top w:w="60" w:type="dxa"/>
            </w:tcMar>
            <w:vAlign w:val="top"/>
          </w:tcPr>
          <w:p>
            <w:pPr>
              <w:jc w:val="left"/>
              <w:rPr>
                <w:b/>
                <w:i w:val="0"/>
                <w:sz w:val="16"/>
              </w:rPr>
            </w:pPr>
            <w:r>
              <w:rPr>
                <w:b w:val="0"/>
                <w:i w:val="0"/>
                <w:sz w:val="16"/>
              </w:rPr>
              <w:t>Дял от участието на ЕЗФРСР и EURI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36,39</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общото участие на ЕЗФРСР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1 047 964 619,00</w:t>
            </w:r>
          </w:p>
        </w:tc>
        <w:tc>
          <w:tcPr>
            <w:tcW w:w="1900" w:type="pct"/>
            <w:shd w:val="clear" w:color="auto" w:fill="C0C0C0"/>
            <w:noWrap w:val="0"/>
            <w:tcMar>
              <w:top w:w="60" w:type="dxa"/>
            </w:tcMar>
            <w:vAlign w:val="top"/>
          </w:tcPr>
          <w:p>
            <w:pPr>
              <w:jc w:val="left"/>
              <w:rPr>
                <w:b/>
                <w:i w:val="0"/>
                <w:sz w:val="16"/>
              </w:rPr>
            </w:pPr>
            <w:r>
              <w:rPr>
                <w:b w:val="0"/>
                <w:i w:val="0"/>
                <w:sz w:val="16"/>
              </w:rPr>
              <w:t>Дял от общото участие на ЕЗФРСР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35.71</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общото участие на EURI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90 720 000,00</w:t>
            </w:r>
          </w:p>
        </w:tc>
        <w:tc>
          <w:tcPr>
            <w:tcW w:w="1900" w:type="pct"/>
            <w:shd w:val="clear" w:color="auto" w:fill="C0C0C0"/>
            <w:noWrap w:val="0"/>
            <w:tcMar>
              <w:top w:w="60" w:type="dxa"/>
            </w:tcMar>
            <w:vAlign w:val="top"/>
          </w:tcPr>
          <w:p>
            <w:pPr>
              <w:jc w:val="left"/>
              <w:rPr>
                <w:b/>
                <w:i w:val="0"/>
                <w:sz w:val="16"/>
              </w:rPr>
            </w:pPr>
            <w:r>
              <w:rPr>
                <w:b w:val="0"/>
                <w:i w:val="0"/>
                <w:sz w:val="16"/>
              </w:rPr>
              <w:t>Дял от общото участие на EURI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44,92</w:t>
            </w:r>
          </w:p>
        </w:tc>
      </w:tr>
    </w:tbl>
    <w:p>
      <w:pPr>
        <w:rPr>
          <w:b/>
          <w:i w:val="0"/>
        </w:rPr>
      </w:pPr>
    </w:p>
    <w:p>
      <w:pPr>
        <w:rPr>
          <w:b/>
          <w:i w:val="0"/>
        </w:rPr>
        <w:sectPr>
          <w:pgSz w:w="15840" w:h="12240" w:orient="landscape"/>
          <w:pgMar w:top="900" w:right="900" w:bottom="900" w:left="900" w:header="720" w:footer="720"/>
          <w:cols w:space="720"/>
        </w:sectPr>
      </w:pPr>
    </w:p>
    <w:p>
      <w:pPr>
        <w:pStyle w:val="Heading2"/>
      </w:pPr>
      <w:r>
        <w:t xml:space="preserve"> </w:t>
      </w:r>
      <w:bookmarkStart w:id="145" w:name="_Toc256000145"/>
      <w:r>
        <w:t>Единно процентно участие на ЕЗФРСР за всички мерки с разбивка по вид регион, съгласно посоченото в член 59, параграф 3 от Регламент (ЕС) № 1305/2013</w:t>
      </w:r>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на ЕЗФРСР за периода 2014—2022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на ЕЗФРСР за периода 2014—2022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6" w:name="_Toc256000146"/>
      <w:r>
        <w:rPr>
          <w:b/>
        </w:rPr>
        <w:t>Разпределение по мярка или вид операция, с конкретния размер на процентното участие на ЕЗФРСР (в евро за целия период 2014—2022 г.)</w:t>
      </w:r>
      <w:bookmarkEnd w:id="146"/>
    </w:p>
    <w:p>
      <w:pPr>
        <w:pStyle w:val="Heading3"/>
        <w:jc w:val="left"/>
        <w:rPr>
          <w:b w:val="0"/>
        </w:rPr>
      </w:pPr>
      <w:bookmarkStart w:id="147" w:name="_Toc256000147"/>
      <w:r>
        <w:rPr>
          <w:b w:val="0"/>
        </w:rPr>
        <w:t>М01 — Трансфер на знания и действия за осведомяване (член 14)</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5 410 000,00 (2A)</w:t>
            </w:r>
          </w:p>
          <w:p>
            <w:pPr>
              <w:jc w:val="right"/>
              <w:rPr>
                <w:b w:val="0"/>
                <w:sz w:val="16"/>
              </w:rPr>
            </w:pPr>
            <w:r>
              <w:rPr>
                <w:b w:val="0"/>
                <w:sz w:val="16"/>
              </w:rPr>
              <w:t>670 000,00 (2B)</w:t>
            </w:r>
          </w:p>
          <w:p>
            <w:pPr>
              <w:jc w:val="right"/>
              <w:rPr>
                <w:b w:val="0"/>
                <w:sz w:val="16"/>
              </w:rPr>
            </w:pPr>
            <w:r>
              <w:rPr>
                <w:b w:val="0"/>
                <w:sz w:val="16"/>
              </w:rPr>
              <w:t>140 000,00 (3A)</w:t>
            </w:r>
          </w:p>
          <w:p>
            <w:pPr>
              <w:jc w:val="right"/>
              <w:rPr>
                <w:b w:val="0"/>
                <w:sz w:val="16"/>
              </w:rPr>
            </w:pPr>
            <w:r>
              <w:rPr>
                <w:b w:val="0"/>
                <w:sz w:val="16"/>
              </w:rPr>
              <w:t>1 100 000,00 (3B)</w:t>
            </w:r>
          </w:p>
          <w:p>
            <w:pPr>
              <w:jc w:val="right"/>
              <w:rPr>
                <w:b w:val="0"/>
                <w:sz w:val="16"/>
              </w:rPr>
            </w:pPr>
            <w:r>
              <w:rPr>
                <w:b w:val="0"/>
                <w:sz w:val="16"/>
              </w:rPr>
              <w:t>2 660 000,00 (P4)</w:t>
            </w:r>
          </w:p>
          <w:p>
            <w:pPr>
              <w:jc w:val="right"/>
              <w:rPr>
                <w:b w:val="0"/>
                <w:sz w:val="16"/>
              </w:rPr>
            </w:pPr>
            <w:r>
              <w:rPr>
                <w:b w:val="0"/>
                <w:sz w:val="16"/>
              </w:rPr>
              <w:t>1 430 000,00 (5A)</w:t>
            </w:r>
          </w:p>
          <w:p>
            <w:pPr>
              <w:jc w:val="right"/>
              <w:rPr>
                <w:b w:val="0"/>
                <w:sz w:val="16"/>
              </w:rPr>
            </w:pPr>
            <w:r>
              <w:rPr>
                <w:b w:val="0"/>
                <w:sz w:val="16"/>
              </w:rPr>
              <w:t>300 000,00 (5B)</w:t>
            </w:r>
          </w:p>
          <w:p>
            <w:pPr>
              <w:jc w:val="right"/>
              <w:rPr>
                <w:b w:val="0"/>
                <w:sz w:val="16"/>
              </w:rPr>
            </w:pPr>
            <w:r>
              <w:rPr>
                <w:b w:val="0"/>
                <w:sz w:val="16"/>
              </w:rPr>
              <w:t>110 000,00 (5C)</w:t>
            </w:r>
          </w:p>
          <w:p>
            <w:pPr>
              <w:jc w:val="right"/>
              <w:rPr>
                <w:b w:val="0"/>
                <w:sz w:val="16"/>
              </w:rPr>
            </w:pPr>
            <w:r>
              <w:rPr>
                <w:b w:val="0"/>
                <w:sz w:val="16"/>
              </w:rPr>
              <w:t>360 000,00 (5D)</w:t>
            </w:r>
          </w:p>
          <w:p>
            <w:pPr>
              <w:jc w:val="right"/>
              <w:rPr>
                <w:b w:val="0"/>
                <w:sz w:val="16"/>
              </w:rPr>
            </w:pPr>
            <w:r>
              <w:rPr>
                <w:b w:val="0"/>
                <w:sz w:val="16"/>
              </w:rPr>
              <w:t>590 000,00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12 770 000,00</w:t>
            </w:r>
            <w:r>
              <w:rPr>
                <w:b w:val="0"/>
                <w:sz w:val="16"/>
              </w:rPr>
              <w:br/>
            </w:r>
            <w:r>
              <w:rPr>
                <w:b w:val="0"/>
                <w:sz w:val="16"/>
              </w:rPr>
              <w:t>0,00</w:t>
            </w:r>
            <w:r>
              <w:rPr>
                <w:b w:val="0"/>
                <w:sz w:val="16"/>
              </w:rPr>
              <w:br/>
            </w:r>
            <w:r>
              <w:rPr>
                <w:b w:val="0"/>
                <w:sz w:val="16"/>
              </w:rPr>
              <w:t>12 770 000,00</w:t>
            </w:r>
          </w:p>
        </w:tc>
      </w:tr>
    </w:tbl>
    <w:p>
      <w:pPr>
        <w:pStyle w:val="Heading3"/>
        <w:jc w:val="left"/>
        <w:rPr>
          <w:b w:val="0"/>
        </w:rPr>
      </w:pPr>
      <w:r>
        <w:rPr>
          <w:b/>
        </w:rPr>
        <w:br w:type="page"/>
      </w:r>
      <w:bookmarkStart w:id="148" w:name="_Toc256000148"/>
      <w:r>
        <w:rPr>
          <w:b w:val="0"/>
        </w:rPr>
        <w:t>М02 —  Консултантски услуги, услуги по управление на стопанство и услуги по заместване в стопанство (член 15)</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7 225 000,00 (2A)</w:t>
            </w:r>
          </w:p>
          <w:p>
            <w:pPr>
              <w:jc w:val="right"/>
              <w:rPr>
                <w:b w:val="0"/>
                <w:sz w:val="16"/>
              </w:rPr>
            </w:pPr>
            <w:r>
              <w:rPr>
                <w:b w:val="0"/>
                <w:sz w:val="16"/>
              </w:rPr>
              <w:t>2 231 250,00 (2B)</w:t>
            </w:r>
          </w:p>
          <w:p>
            <w:pPr>
              <w:jc w:val="right"/>
              <w:rPr>
                <w:b w:val="0"/>
                <w:sz w:val="16"/>
              </w:rPr>
            </w:pPr>
            <w:r>
              <w:rPr>
                <w:b w:val="0"/>
                <w:sz w:val="16"/>
              </w:rPr>
              <w:t>510 000,00 (3A)</w:t>
            </w:r>
          </w:p>
          <w:p>
            <w:pPr>
              <w:jc w:val="right"/>
              <w:rPr>
                <w:b w:val="0"/>
                <w:sz w:val="16"/>
              </w:rPr>
            </w:pPr>
            <w:r>
              <w:rPr>
                <w:b w:val="0"/>
                <w:sz w:val="16"/>
              </w:rPr>
              <w:t>510 000,00 (3B)</w:t>
            </w:r>
          </w:p>
          <w:p>
            <w:pPr>
              <w:jc w:val="right"/>
              <w:rPr>
                <w:b w:val="0"/>
                <w:sz w:val="16"/>
              </w:rPr>
            </w:pPr>
            <w:r>
              <w:rPr>
                <w:b w:val="0"/>
                <w:sz w:val="16"/>
              </w:rPr>
              <w:t>3 102 502,00 (P4)</w:t>
            </w:r>
          </w:p>
          <w:p>
            <w:pPr>
              <w:jc w:val="right"/>
              <w:rPr>
                <w:b w:val="0"/>
                <w:sz w:val="16"/>
              </w:rPr>
            </w:pPr>
            <w:r>
              <w:rPr>
                <w:b w:val="0"/>
                <w:sz w:val="16"/>
              </w:rPr>
              <w:t>365 500,00 (5A)</w:t>
            </w:r>
          </w:p>
          <w:p>
            <w:pPr>
              <w:jc w:val="right"/>
              <w:rPr>
                <w:b w:val="0"/>
                <w:sz w:val="16"/>
              </w:rPr>
            </w:pPr>
            <w:r>
              <w:rPr>
                <w:b w:val="0"/>
                <w:sz w:val="16"/>
              </w:rPr>
              <w:t>850 000,00 (5B)</w:t>
            </w:r>
          </w:p>
          <w:p>
            <w:pPr>
              <w:jc w:val="right"/>
              <w:rPr>
                <w:b w:val="0"/>
                <w:sz w:val="16"/>
              </w:rPr>
            </w:pPr>
            <w:r>
              <w:rPr>
                <w:b w:val="0"/>
                <w:sz w:val="16"/>
              </w:rPr>
              <w:t>970 022,00 (5C)</w:t>
            </w:r>
          </w:p>
          <w:p>
            <w:pPr>
              <w:jc w:val="right"/>
              <w:rPr>
                <w:b w:val="0"/>
                <w:sz w:val="16"/>
              </w:rPr>
            </w:pPr>
            <w:r>
              <w:rPr>
                <w:b w:val="0"/>
                <w:sz w:val="16"/>
              </w:rPr>
              <w:t>970 022,00 (5D)</w:t>
            </w:r>
          </w:p>
          <w:p>
            <w:pPr>
              <w:jc w:val="right"/>
              <w:rPr>
                <w:b w:val="0"/>
                <w:sz w:val="16"/>
              </w:rPr>
            </w:pPr>
            <w:r>
              <w:rPr>
                <w:b w:val="0"/>
                <w:sz w:val="16"/>
              </w:rPr>
              <w:t>970 022,00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17 704 318,00</w:t>
            </w:r>
            <w:r>
              <w:rPr>
                <w:b w:val="0"/>
                <w:sz w:val="16"/>
              </w:rPr>
              <w:br/>
            </w:r>
            <w:r>
              <w:rPr>
                <w:b w:val="0"/>
                <w:sz w:val="16"/>
              </w:rPr>
              <w:t>0,00</w:t>
            </w:r>
            <w:r>
              <w:rPr>
                <w:b w:val="0"/>
                <w:sz w:val="16"/>
              </w:rPr>
              <w:br/>
            </w:r>
            <w:r>
              <w:rPr>
                <w:b w:val="0"/>
                <w:sz w:val="16"/>
              </w:rPr>
              <w:t>17 704 318,00</w:t>
            </w:r>
          </w:p>
        </w:tc>
      </w:tr>
    </w:tbl>
    <w:p>
      <w:pPr>
        <w:pStyle w:val="Heading3"/>
        <w:jc w:val="left"/>
        <w:rPr>
          <w:b w:val="0"/>
        </w:rPr>
      </w:pPr>
      <w:r>
        <w:rPr>
          <w:b/>
        </w:rPr>
        <w:br w:type="page"/>
      </w:r>
      <w:bookmarkStart w:id="149" w:name="_Toc256000149"/>
      <w:r>
        <w:rPr>
          <w:b w:val="0"/>
        </w:rPr>
        <w:t>M04 — Инвестиции в материални активи (член 17)</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13 000 000,00</w:t>
            </w:r>
          </w:p>
        </w:tc>
        <w:tc>
          <w:tcPr>
            <w:tcW w:w="2400" w:type="dxa"/>
            <w:shd w:val="clear" w:color="auto" w:fill="FFFFFF"/>
            <w:noWrap w:val="0"/>
            <w:tcMar>
              <w:top w:w="60" w:type="dxa"/>
            </w:tcMar>
            <w:vAlign w:val="top"/>
          </w:tcPr>
          <w:p>
            <w:pPr>
              <w:jc w:val="right"/>
              <w:rPr>
                <w:b w:val="0"/>
                <w:sz w:val="16"/>
              </w:rPr>
            </w:pPr>
            <w:r>
              <w:rPr>
                <w:b w:val="0"/>
                <w:sz w:val="16"/>
              </w:rPr>
              <w:t>355 332 463,00 (2A)</w:t>
            </w:r>
          </w:p>
          <w:p>
            <w:pPr>
              <w:jc w:val="right"/>
              <w:rPr>
                <w:b w:val="0"/>
                <w:sz w:val="16"/>
              </w:rPr>
            </w:pPr>
            <w:r>
              <w:rPr>
                <w:b w:val="0"/>
                <w:sz w:val="16"/>
              </w:rPr>
              <w:t>69 162 403,00 (2B)</w:t>
            </w:r>
          </w:p>
          <w:p>
            <w:pPr>
              <w:jc w:val="right"/>
              <w:rPr>
                <w:b w:val="0"/>
                <w:sz w:val="16"/>
              </w:rPr>
            </w:pPr>
            <w:r>
              <w:rPr>
                <w:b w:val="0"/>
                <w:sz w:val="16"/>
              </w:rPr>
              <w:t>260 590 802,00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9 146 251,00 (P4)</w:t>
            </w:r>
          </w:p>
          <w:p>
            <w:pPr>
              <w:jc w:val="right"/>
              <w:rPr>
                <w:b w:val="0"/>
                <w:sz w:val="16"/>
              </w:rPr>
            </w:pPr>
            <w:r>
              <w:rPr>
                <w:b w:val="0"/>
                <w:sz w:val="16"/>
              </w:rPr>
              <w:t>70 237 287,00 (5A)</w:t>
            </w:r>
          </w:p>
          <w:p>
            <w:pPr>
              <w:jc w:val="right"/>
              <w:rPr>
                <w:b w:val="0"/>
                <w:sz w:val="16"/>
              </w:rPr>
            </w:pPr>
            <w:r>
              <w:rPr>
                <w:b w:val="0"/>
                <w:sz w:val="16"/>
              </w:rPr>
              <w:t>115 595 760,00 (5B)</w:t>
            </w:r>
          </w:p>
          <w:p>
            <w:pPr>
              <w:jc w:val="right"/>
              <w:rPr>
                <w:b w:val="0"/>
                <w:sz w:val="16"/>
              </w:rPr>
            </w:pPr>
            <w:r>
              <w:rPr>
                <w:b w:val="0"/>
                <w:sz w:val="16"/>
              </w:rPr>
              <w:t>24 622 260,00 (5C)</w:t>
            </w:r>
          </w:p>
          <w:p>
            <w:pPr>
              <w:jc w:val="right"/>
              <w:rPr>
                <w:b w:val="0"/>
                <w:sz w:val="16"/>
              </w:rPr>
            </w:pPr>
            <w:r>
              <w:rPr>
                <w:b w:val="0"/>
                <w:sz w:val="16"/>
              </w:rPr>
              <w:t>979 995,00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66 616 861,00 (3A)</w:t>
            </w:r>
          </w:p>
          <w:p>
            <w:pPr>
              <w:jc w:val="right"/>
              <w:rPr>
                <w:b w:val="0"/>
                <w:sz w:val="16"/>
              </w:rPr>
            </w:pPr>
            <w:r>
              <w:rPr>
                <w:b w:val="0"/>
                <w:sz w:val="16"/>
              </w:rPr>
              <w:t>44 005 238,00 (P4)</w:t>
            </w:r>
          </w:p>
          <w:p>
            <w:pPr>
              <w:jc w:val="right"/>
              <w:rPr>
                <w:b w:val="0"/>
                <w:sz w:val="16"/>
              </w:rPr>
            </w:pPr>
            <w:r>
              <w:rPr>
                <w:b w:val="0"/>
                <w:sz w:val="16"/>
              </w:rPr>
              <w:t>13 929 596,00 (5A)</w:t>
            </w:r>
          </w:p>
          <w:p>
            <w:pPr>
              <w:jc w:val="right"/>
              <w:rPr>
                <w:b w:val="0"/>
                <w:sz w:val="16"/>
              </w:rPr>
            </w:pPr>
            <w:r>
              <w:rPr>
                <w:b w:val="0"/>
                <w:sz w:val="16"/>
              </w:rPr>
              <w:t>7 854 538,00 (5B)</w:t>
            </w:r>
          </w:p>
          <w:p>
            <w:pPr>
              <w:jc w:val="right"/>
              <w:rPr>
                <w:b w:val="0"/>
                <w:sz w:val="16"/>
              </w:rPr>
            </w:pPr>
            <w:r>
              <w:rPr>
                <w:b w:val="0"/>
                <w:sz w:val="16"/>
              </w:rPr>
              <w:t>16 930 628,00 (5C)</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13 000 000,00</w:t>
            </w:r>
            <w:r>
              <w:rPr>
                <w:b w:val="0"/>
                <w:sz w:val="16"/>
              </w:rPr>
              <w:br/>
            </w:r>
            <w:r>
              <w:rPr>
                <w:b w:val="0"/>
                <w:sz w:val="16"/>
              </w:rPr>
              <w:t>0,00</w:t>
            </w:r>
            <w:r>
              <w:rPr>
                <w:b w:val="0"/>
                <w:sz w:val="16"/>
              </w:rPr>
              <w:br/>
            </w:r>
            <w:r>
              <w:rPr>
                <w:b w:val="0"/>
                <w:sz w:val="16"/>
              </w:rPr>
              <w:t>13 000 000,00</w:t>
            </w:r>
          </w:p>
        </w:tc>
        <w:tc>
          <w:tcPr>
            <w:tcW w:w="2400" w:type="dxa"/>
            <w:shd w:val="clear" w:color="auto" w:fill="C0C0C0"/>
            <w:noWrap w:val="0"/>
            <w:tcMar>
              <w:top w:w="60" w:type="dxa"/>
            </w:tcMar>
            <w:vAlign w:val="top"/>
          </w:tcPr>
          <w:p>
            <w:pPr>
              <w:jc w:val="right"/>
              <w:rPr>
                <w:b w:val="0"/>
                <w:sz w:val="16"/>
              </w:rPr>
            </w:pPr>
            <w:r>
              <w:rPr>
                <w:b w:val="0"/>
                <w:sz w:val="16"/>
              </w:rPr>
              <w:t>905 667 221,00</w:t>
            </w:r>
            <w:r>
              <w:rPr>
                <w:b w:val="0"/>
                <w:sz w:val="16"/>
              </w:rPr>
              <w:br/>
            </w:r>
            <w:r>
              <w:rPr>
                <w:b w:val="0"/>
                <w:sz w:val="16"/>
              </w:rPr>
              <w:t>149 336 861,00</w:t>
            </w:r>
            <w:r>
              <w:rPr>
                <w:b w:val="0"/>
                <w:sz w:val="16"/>
              </w:rPr>
              <w:br/>
            </w:r>
            <w:r>
              <w:rPr>
                <w:b w:val="0"/>
                <w:sz w:val="16"/>
              </w:rPr>
              <w:t>1 055 004 082,00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303 301 553,00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220 581 553,00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82 720 000,00</w:t>
            </w:r>
          </w:p>
        </w:tc>
      </w:tr>
    </w:tbl>
    <w:p>
      <w:pPr>
        <w:pStyle w:val="Heading3"/>
        <w:jc w:val="left"/>
        <w:rPr>
          <w:b w:val="0"/>
        </w:rPr>
      </w:pPr>
      <w:r>
        <w:rPr>
          <w:b/>
        </w:rPr>
        <w:br w:type="page"/>
      </w:r>
      <w:bookmarkStart w:id="150" w:name="_Toc256000150"/>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50"/>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13 250 935,00 (3B)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13 250 935,00</w:t>
            </w:r>
            <w:r>
              <w:rPr>
                <w:b w:val="0"/>
                <w:sz w:val="16"/>
              </w:rPr>
              <w:br/>
            </w:r>
            <w:r>
              <w:rPr>
                <w:b w:val="0"/>
                <w:sz w:val="16"/>
              </w:rPr>
              <w:t>0,00</w:t>
            </w:r>
            <w:r>
              <w:rPr>
                <w:b w:val="0"/>
                <w:sz w:val="16"/>
              </w:rPr>
              <w:br/>
            </w:r>
            <w:r>
              <w:rPr>
                <w:b w:val="0"/>
                <w:sz w:val="16"/>
              </w:rPr>
              <w:t>13 250 935,00</w:t>
            </w:r>
          </w:p>
        </w:tc>
      </w:tr>
    </w:tbl>
    <w:p>
      <w:pPr>
        <w:pStyle w:val="Heading3"/>
        <w:jc w:val="left"/>
        <w:rPr>
          <w:b w:val="0"/>
        </w:rPr>
      </w:pPr>
      <w:r>
        <w:rPr>
          <w:b/>
        </w:rPr>
        <w:br w:type="page"/>
      </w:r>
      <w:bookmarkStart w:id="151" w:name="_Toc256000151"/>
      <w:r>
        <w:rPr>
          <w:b w:val="0"/>
        </w:rPr>
        <w:t>M06 — Развитие на стопанства и предприятия (член 19)</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1 500 000,00</w:t>
            </w:r>
          </w:p>
        </w:tc>
        <w:tc>
          <w:tcPr>
            <w:tcW w:w="2400" w:type="dxa"/>
            <w:shd w:val="clear" w:color="auto" w:fill="FFFFFF"/>
            <w:noWrap w:val="0"/>
            <w:tcMar>
              <w:top w:w="60" w:type="dxa"/>
            </w:tcMar>
            <w:vAlign w:val="top"/>
          </w:tcPr>
          <w:p>
            <w:pPr>
              <w:jc w:val="right"/>
              <w:rPr>
                <w:b w:val="0"/>
                <w:sz w:val="16"/>
              </w:rPr>
            </w:pPr>
            <w:r>
              <w:rPr>
                <w:b w:val="0"/>
                <w:sz w:val="16"/>
              </w:rPr>
              <w:t>51 553 500,00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52 278 857,00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45 450 000,00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19 651 719,00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20 000 000,00 (2A)</w:t>
            </w:r>
          </w:p>
          <w:p>
            <w:pPr>
              <w:jc w:val="right"/>
              <w:rPr>
                <w:b w:val="0"/>
                <w:sz w:val="16"/>
              </w:rPr>
            </w:pPr>
            <w:r>
              <w:rPr>
                <w:b w:val="0"/>
                <w:sz w:val="16"/>
              </w:rPr>
              <w:t>24 600 000,00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1 500 000,00</w:t>
            </w:r>
            <w:r>
              <w:rPr>
                <w:b w:val="0"/>
                <w:sz w:val="16"/>
              </w:rPr>
              <w:br/>
            </w:r>
            <w:r>
              <w:rPr>
                <w:b w:val="0"/>
                <w:sz w:val="16"/>
              </w:rPr>
              <w:t>0,00</w:t>
            </w:r>
            <w:r>
              <w:rPr>
                <w:b w:val="0"/>
                <w:sz w:val="16"/>
              </w:rPr>
              <w:br/>
            </w:r>
            <w:r>
              <w:rPr>
                <w:b w:val="0"/>
                <w:sz w:val="16"/>
              </w:rPr>
              <w:t>1 500 000,00</w:t>
            </w:r>
          </w:p>
        </w:tc>
        <w:tc>
          <w:tcPr>
            <w:tcW w:w="2400" w:type="dxa"/>
            <w:shd w:val="clear" w:color="auto" w:fill="C0C0C0"/>
            <w:noWrap w:val="0"/>
            <w:tcMar>
              <w:top w:w="60" w:type="dxa"/>
            </w:tcMar>
            <w:vAlign w:val="top"/>
          </w:tcPr>
          <w:p>
            <w:pPr>
              <w:jc w:val="right"/>
              <w:rPr>
                <w:b w:val="0"/>
                <w:sz w:val="16"/>
              </w:rPr>
            </w:pPr>
            <w:r>
              <w:rPr>
                <w:b w:val="0"/>
                <w:sz w:val="16"/>
              </w:rPr>
              <w:t>168 934 076,00</w:t>
            </w:r>
            <w:r>
              <w:rPr>
                <w:b w:val="0"/>
                <w:sz w:val="16"/>
              </w:rPr>
              <w:br/>
            </w:r>
            <w:r>
              <w:rPr>
                <w:b w:val="0"/>
                <w:sz w:val="16"/>
              </w:rPr>
              <w:t>44 600 000,00</w:t>
            </w:r>
            <w:r>
              <w:rPr>
                <w:b w:val="0"/>
                <w:sz w:val="16"/>
              </w:rPr>
              <w:br/>
            </w:r>
            <w:r>
              <w:rPr>
                <w:b w:val="0"/>
                <w:sz w:val="16"/>
              </w:rPr>
              <w:t>213 534 076,00</w:t>
            </w:r>
          </w:p>
        </w:tc>
      </w:tr>
    </w:tbl>
    <w:p>
      <w:pPr>
        <w:pStyle w:val="Heading3"/>
        <w:jc w:val="left"/>
        <w:rPr>
          <w:b w:val="0"/>
        </w:rPr>
      </w:pPr>
      <w:r>
        <w:rPr>
          <w:b/>
        </w:rPr>
        <w:br w:type="page"/>
      </w:r>
      <w:bookmarkStart w:id="152" w:name="_Toc256000152"/>
      <w:r>
        <w:rPr>
          <w:b w:val="0"/>
        </w:rPr>
        <w:t>М07 — Основни услуги и обновяване на селата в селските райони (член 20)</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27 960 207,00 (5C)</w:t>
            </w:r>
          </w:p>
          <w:p>
            <w:pPr>
              <w:jc w:val="right"/>
              <w:rPr>
                <w:b w:val="0"/>
                <w:sz w:val="16"/>
              </w:rPr>
            </w:pPr>
            <w:r>
              <w:rPr>
                <w:b w:val="0"/>
                <w:sz w:val="16"/>
              </w:rPr>
              <w:t>636 829 439,00 (6B)</w:t>
            </w:r>
          </w:p>
          <w:p>
            <w:pPr>
              <w:jc w:val="right"/>
              <w:rPr>
                <w:b w:val="0"/>
                <w:sz w:val="16"/>
              </w:rPr>
            </w:pPr>
            <w:r>
              <w:rPr>
                <w:b w:val="0"/>
                <w:sz w:val="16"/>
              </w:rPr>
              <w:t>0,00 (6C)</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8 281 281,00 (6B)</w:t>
            </w:r>
          </w:p>
          <w:p>
            <w:pPr>
              <w:jc w:val="right"/>
              <w:rPr>
                <w:b w:val="0"/>
                <w:sz w:val="16"/>
              </w:rPr>
            </w:pPr>
            <w:r>
              <w:rPr>
                <w:b w:val="0"/>
                <w:sz w:val="16"/>
              </w:rPr>
              <w:t>0,00 (6C)</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673 070 927,00</w:t>
            </w:r>
            <w:r>
              <w:rPr>
                <w:b w:val="0"/>
                <w:sz w:val="16"/>
              </w:rPr>
              <w:br/>
            </w:r>
            <w:r>
              <w:rPr>
                <w:b w:val="0"/>
                <w:sz w:val="16"/>
              </w:rPr>
              <w:t>0,00</w:t>
            </w:r>
            <w:r>
              <w:rPr>
                <w:b w:val="0"/>
                <w:sz w:val="16"/>
              </w:rPr>
              <w:br/>
            </w:r>
            <w:r>
              <w:rPr>
                <w:b w:val="0"/>
                <w:sz w:val="16"/>
              </w:rPr>
              <w:t>673 070 927,00</w:t>
            </w:r>
          </w:p>
        </w:tc>
      </w:tr>
    </w:tbl>
    <w:p>
      <w:pPr>
        <w:pStyle w:val="Heading3"/>
        <w:jc w:val="left"/>
        <w:rPr>
          <w:b w:val="0"/>
        </w:rPr>
      </w:pPr>
      <w:r>
        <w:rPr>
          <w:b/>
        </w:rPr>
        <w:br w:type="page"/>
      </w:r>
      <w:bookmarkStart w:id="153" w:name="_Toc256000153"/>
      <w:r>
        <w:rPr>
          <w:b w:val="0"/>
        </w:rPr>
        <w:t>М08 — Инвестиции в развитие на горските райони и подобряване на жизнеспособността на горите (членове 21 — 26)</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14 675 000,00 (2C+)</w:t>
            </w:r>
          </w:p>
          <w:p>
            <w:pPr>
              <w:jc w:val="right"/>
              <w:rPr>
                <w:b w:val="0"/>
                <w:sz w:val="16"/>
              </w:rPr>
            </w:pPr>
            <w:r>
              <w:rPr>
                <w:b w:val="0"/>
                <w:sz w:val="16"/>
              </w:rPr>
              <w:t>14 273 157,00 (P4)</w:t>
            </w:r>
          </w:p>
          <w:p>
            <w:pPr>
              <w:jc w:val="right"/>
              <w:rPr>
                <w:b w:val="0"/>
                <w:sz w:val="16"/>
              </w:rPr>
            </w:pPr>
            <w:r>
              <w:rPr>
                <w:b w:val="0"/>
                <w:sz w:val="16"/>
              </w:rPr>
              <w:t>2 037 500,00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583 334,00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31 568 991,00</w:t>
            </w:r>
            <w:r>
              <w:rPr>
                <w:b w:val="0"/>
                <w:sz w:val="16"/>
              </w:rPr>
              <w:br/>
            </w:r>
            <w:r>
              <w:rPr>
                <w:b w:val="0"/>
                <w:sz w:val="16"/>
              </w:rPr>
              <w:t>0,00</w:t>
            </w:r>
            <w:r>
              <w:rPr>
                <w:b w:val="0"/>
                <w:sz w:val="16"/>
              </w:rPr>
              <w:br/>
            </w:r>
            <w:r>
              <w:rPr>
                <w:b w:val="0"/>
                <w:sz w:val="16"/>
              </w:rPr>
              <w:t>31 568 991,00</w:t>
            </w:r>
          </w:p>
        </w:tc>
      </w:tr>
    </w:tbl>
    <w:p>
      <w:pPr>
        <w:pStyle w:val="Heading3"/>
        <w:jc w:val="left"/>
        <w:rPr>
          <w:b w:val="0"/>
        </w:rPr>
      </w:pPr>
      <w:r>
        <w:rPr>
          <w:b/>
        </w:rPr>
        <w:br w:type="page"/>
      </w:r>
      <w:bookmarkStart w:id="154" w:name="_Toc256000154"/>
      <w:r>
        <w:rPr>
          <w:b w:val="0"/>
        </w:rPr>
        <w:t>M09 — Създаване на групи и организации на производителите (член 27)</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5 884 852,00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5 884 852,00</w:t>
            </w:r>
            <w:r>
              <w:rPr>
                <w:b w:val="0"/>
                <w:sz w:val="16"/>
              </w:rPr>
              <w:br/>
            </w:r>
            <w:r>
              <w:rPr>
                <w:b w:val="0"/>
                <w:sz w:val="16"/>
              </w:rPr>
              <w:t>0,00</w:t>
            </w:r>
            <w:r>
              <w:rPr>
                <w:b w:val="0"/>
                <w:sz w:val="16"/>
              </w:rPr>
              <w:br/>
            </w:r>
            <w:r>
              <w:rPr>
                <w:b w:val="0"/>
                <w:sz w:val="16"/>
              </w:rPr>
              <w:t>5 884 852,00</w:t>
            </w:r>
          </w:p>
        </w:tc>
      </w:tr>
    </w:tbl>
    <w:p>
      <w:pPr>
        <w:pStyle w:val="Heading3"/>
        <w:jc w:val="left"/>
        <w:rPr>
          <w:b w:val="0"/>
        </w:rPr>
      </w:pPr>
      <w:r>
        <w:rPr>
          <w:b/>
        </w:rPr>
        <w:br w:type="page"/>
      </w:r>
      <w:bookmarkStart w:id="155" w:name="_Toc256000155"/>
      <w:r>
        <w:rPr>
          <w:b w:val="0"/>
        </w:rPr>
        <w:t>M10 — Агроекология и климат (член 28)</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167 022 462,00 (P4)</w:t>
            </w:r>
          </w:p>
          <w:p>
            <w:pPr>
              <w:jc w:val="right"/>
              <w:rPr>
                <w:b w:val="0"/>
                <w:sz w:val="16"/>
              </w:rPr>
            </w:pPr>
            <w:r>
              <w:rPr>
                <w:b w:val="0"/>
                <w:sz w:val="16"/>
              </w:rPr>
              <w:t>30 000 000,00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1 766 000,00 (P4)</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8 000 000,00 (P4)</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198 788 462,00</w:t>
            </w:r>
            <w:r>
              <w:rPr>
                <w:b w:val="0"/>
                <w:sz w:val="16"/>
              </w:rPr>
              <w:br/>
            </w:r>
            <w:r>
              <w:rPr>
                <w:b w:val="0"/>
                <w:sz w:val="16"/>
              </w:rPr>
              <w:t>8 000 000,00</w:t>
            </w:r>
            <w:r>
              <w:rPr>
                <w:b w:val="0"/>
                <w:sz w:val="16"/>
              </w:rPr>
              <w:br/>
            </w:r>
            <w:r>
              <w:rPr>
                <w:b w:val="0"/>
                <w:sz w:val="16"/>
              </w:rPr>
              <w:t>206 788 462,00</w:t>
            </w:r>
          </w:p>
        </w:tc>
      </w:tr>
    </w:tbl>
    <w:p>
      <w:pPr>
        <w:pStyle w:val="Heading3"/>
        <w:jc w:val="left"/>
        <w:rPr>
          <w:b w:val="0"/>
        </w:rPr>
      </w:pPr>
      <w:r>
        <w:rPr>
          <w:b/>
        </w:rPr>
        <w:br w:type="page"/>
      </w:r>
      <w:bookmarkStart w:id="156" w:name="_Toc256000156"/>
      <w:r>
        <w:rPr>
          <w:b w:val="0"/>
        </w:rPr>
        <w:t>М11 — Биологично земеделие (член 29)</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160 457 579,00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160 457 579,00</w:t>
            </w:r>
            <w:r>
              <w:rPr>
                <w:b w:val="0"/>
                <w:sz w:val="16"/>
              </w:rPr>
              <w:br/>
            </w:r>
            <w:r>
              <w:rPr>
                <w:b w:val="0"/>
                <w:sz w:val="16"/>
              </w:rPr>
              <w:t>0,00</w:t>
            </w:r>
            <w:r>
              <w:rPr>
                <w:b w:val="0"/>
                <w:sz w:val="16"/>
              </w:rPr>
              <w:br/>
            </w:r>
            <w:r>
              <w:rPr>
                <w:b w:val="0"/>
                <w:sz w:val="16"/>
              </w:rPr>
              <w:t>160 457 579,00</w:t>
            </w:r>
          </w:p>
        </w:tc>
      </w:tr>
    </w:tbl>
    <w:p>
      <w:pPr>
        <w:pStyle w:val="Heading3"/>
        <w:jc w:val="left"/>
        <w:rPr>
          <w:b w:val="0"/>
        </w:rPr>
      </w:pPr>
      <w:r>
        <w:rPr>
          <w:b/>
        </w:rPr>
        <w:br w:type="page"/>
      </w:r>
      <w:bookmarkStart w:id="157" w:name="_Toc256000157"/>
      <w:r>
        <w:rPr>
          <w:b w:val="0"/>
        </w:rPr>
        <w:t>M12 — Плащания по „Натура 2000“ и Рамковата директива за водите (член 30)</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148 707 028,00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148 707 028,00</w:t>
            </w:r>
            <w:r>
              <w:rPr>
                <w:b w:val="0"/>
                <w:sz w:val="16"/>
              </w:rPr>
              <w:br/>
            </w:r>
            <w:r>
              <w:rPr>
                <w:b w:val="0"/>
                <w:sz w:val="16"/>
              </w:rPr>
              <w:t>0,00</w:t>
            </w:r>
            <w:r>
              <w:rPr>
                <w:b w:val="0"/>
                <w:sz w:val="16"/>
              </w:rPr>
              <w:br/>
            </w:r>
            <w:r>
              <w:rPr>
                <w:b w:val="0"/>
                <w:sz w:val="16"/>
              </w:rPr>
              <w:t>148 707 028,00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148 707 028,00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148 707 028,00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8" w:name="_Toc256000158"/>
      <w:r>
        <w:rPr>
          <w:b w:val="0"/>
        </w:rPr>
        <w:t>М13 — Плащания за райони, изправени пред природни или други специфични ограничения (член 31)</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287 861 006,00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287 861 006,00</w:t>
            </w:r>
            <w:r>
              <w:rPr>
                <w:b w:val="0"/>
                <w:sz w:val="16"/>
              </w:rPr>
              <w:br/>
            </w:r>
            <w:r>
              <w:rPr>
                <w:b w:val="0"/>
                <w:sz w:val="16"/>
              </w:rPr>
              <w:t>0,00</w:t>
            </w:r>
            <w:r>
              <w:rPr>
                <w:b w:val="0"/>
                <w:sz w:val="16"/>
              </w:rPr>
              <w:br/>
            </w:r>
            <w:r>
              <w:rPr>
                <w:b w:val="0"/>
                <w:sz w:val="16"/>
              </w:rPr>
              <w:t>287 861 006,00</w:t>
            </w:r>
          </w:p>
        </w:tc>
      </w:tr>
    </w:tbl>
    <w:p>
      <w:pPr>
        <w:pStyle w:val="Heading3"/>
        <w:jc w:val="left"/>
        <w:rPr>
          <w:b w:val="0"/>
        </w:rPr>
      </w:pPr>
      <w:r>
        <w:rPr>
          <w:b/>
        </w:rPr>
        <w:br w:type="page"/>
      </w:r>
      <w:bookmarkStart w:id="159" w:name="_Toc256000159"/>
      <w:r>
        <w:rPr>
          <w:b w:val="0"/>
        </w:rPr>
        <w:t>M14 — Хуманно отношение към животните (член 33)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18 981 806,00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18 981 806,00</w:t>
            </w:r>
            <w:r>
              <w:rPr>
                <w:b w:val="0"/>
                <w:sz w:val="16"/>
              </w:rPr>
              <w:br/>
            </w:r>
            <w:r>
              <w:rPr>
                <w:b w:val="0"/>
                <w:sz w:val="16"/>
              </w:rPr>
              <w:t>0,00</w:t>
            </w:r>
            <w:r>
              <w:rPr>
                <w:b w:val="0"/>
                <w:sz w:val="16"/>
              </w:rPr>
              <w:br/>
            </w:r>
            <w:r>
              <w:rPr>
                <w:b w:val="0"/>
                <w:sz w:val="16"/>
              </w:rPr>
              <w:t>18 981 806,00</w:t>
            </w:r>
          </w:p>
        </w:tc>
      </w:tr>
    </w:tbl>
    <w:p>
      <w:pPr>
        <w:pStyle w:val="Heading3"/>
        <w:jc w:val="left"/>
        <w:rPr>
          <w:b w:val="0"/>
        </w:rPr>
      </w:pPr>
      <w:r>
        <w:rPr>
          <w:b/>
        </w:rPr>
        <w:br w:type="page"/>
      </w:r>
      <w:bookmarkStart w:id="160" w:name="_Toc256000160"/>
      <w:r>
        <w:rPr>
          <w:b w:val="0"/>
        </w:rPr>
        <w:t>M16 — Сътрудничество (член 35)</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3 430 000,00 (2A)</w:t>
            </w:r>
          </w:p>
          <w:p>
            <w:pPr>
              <w:jc w:val="right"/>
              <w:rPr>
                <w:b w:val="0"/>
                <w:sz w:val="16"/>
              </w:rPr>
            </w:pPr>
            <w:r>
              <w:rPr>
                <w:b w:val="0"/>
                <w:sz w:val="16"/>
              </w:rPr>
              <w:t>2 290 000,00 (3A)</w:t>
            </w:r>
          </w:p>
          <w:p>
            <w:pPr>
              <w:jc w:val="right"/>
              <w:rPr>
                <w:b w:val="0"/>
                <w:sz w:val="16"/>
              </w:rPr>
            </w:pPr>
            <w:r>
              <w:rPr>
                <w:b w:val="0"/>
                <w:sz w:val="16"/>
              </w:rPr>
              <w:t>2 980 000,00 (P4)</w:t>
            </w:r>
          </w:p>
          <w:p>
            <w:pPr>
              <w:jc w:val="right"/>
              <w:rPr>
                <w:b w:val="0"/>
                <w:sz w:val="16"/>
              </w:rPr>
            </w:pPr>
            <w:r>
              <w:rPr>
                <w:b w:val="0"/>
                <w:sz w:val="16"/>
              </w:rPr>
              <w:t>1 020 000,00 (5A)</w:t>
            </w:r>
          </w:p>
          <w:p>
            <w:pPr>
              <w:jc w:val="right"/>
              <w:rPr>
                <w:b w:val="0"/>
                <w:sz w:val="16"/>
              </w:rPr>
            </w:pPr>
            <w:r>
              <w:rPr>
                <w:b w:val="0"/>
                <w:sz w:val="16"/>
              </w:rPr>
              <w:t>380 000,00 (5B)</w:t>
            </w:r>
          </w:p>
          <w:p>
            <w:pPr>
              <w:jc w:val="right"/>
              <w:rPr>
                <w:b w:val="0"/>
                <w:sz w:val="16"/>
              </w:rPr>
            </w:pPr>
            <w:r>
              <w:rPr>
                <w:b w:val="0"/>
                <w:sz w:val="16"/>
              </w:rPr>
              <w:t>680 000,00 (5C)</w:t>
            </w:r>
          </w:p>
          <w:p>
            <w:pPr>
              <w:jc w:val="right"/>
              <w:rPr>
                <w:b w:val="0"/>
                <w:sz w:val="16"/>
              </w:rPr>
            </w:pPr>
            <w:r>
              <w:rPr>
                <w:b w:val="0"/>
                <w:sz w:val="16"/>
              </w:rPr>
              <w:t>710 000,00 (5D)</w:t>
            </w:r>
          </w:p>
          <w:p>
            <w:pPr>
              <w:jc w:val="right"/>
              <w:rPr>
                <w:b w:val="0"/>
                <w:sz w:val="16"/>
              </w:rPr>
            </w:pPr>
            <w:r>
              <w:rPr>
                <w:b w:val="0"/>
                <w:sz w:val="16"/>
              </w:rPr>
              <w:t>222 000,00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11 712 000,00</w:t>
            </w:r>
            <w:r>
              <w:rPr>
                <w:b w:val="0"/>
                <w:sz w:val="16"/>
              </w:rPr>
              <w:br/>
            </w:r>
            <w:r>
              <w:rPr>
                <w:b w:val="0"/>
                <w:sz w:val="16"/>
              </w:rPr>
              <w:t>0,00</w:t>
            </w:r>
            <w:r>
              <w:rPr>
                <w:b w:val="0"/>
                <w:sz w:val="16"/>
              </w:rPr>
              <w:br/>
            </w:r>
            <w:r>
              <w:rPr>
                <w:b w:val="0"/>
                <w:sz w:val="16"/>
              </w:rPr>
              <w:t>11 712 000,00</w:t>
            </w:r>
          </w:p>
        </w:tc>
      </w:tr>
    </w:tbl>
    <w:p>
      <w:pPr>
        <w:pStyle w:val="Heading3"/>
        <w:jc w:val="left"/>
        <w:rPr>
          <w:b w:val="0"/>
        </w:rPr>
      </w:pPr>
      <w:r>
        <w:rPr>
          <w:b/>
        </w:rPr>
        <w:br w:type="page"/>
      </w:r>
      <w:bookmarkStart w:id="161" w:name="_Toc256000161"/>
      <w:r>
        <w:rPr>
          <w:b w:val="0"/>
        </w:rPr>
        <w:t>M19 — Подкрепа за местно развитие по LEADER (ВОМР — водено от общностите местно развитие) (член 35 от Регламент (ЕС) № 1303/2013)</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2 500 000,00</w:t>
            </w:r>
          </w:p>
        </w:tc>
        <w:tc>
          <w:tcPr>
            <w:tcW w:w="2400" w:type="dxa"/>
            <w:shd w:val="clear" w:color="auto" w:fill="FFFFFF"/>
            <w:noWrap w:val="0"/>
            <w:tcMar>
              <w:top w:w="60" w:type="dxa"/>
            </w:tcMar>
            <w:vAlign w:val="top"/>
          </w:tcPr>
          <w:p>
            <w:pPr>
              <w:jc w:val="right"/>
              <w:rPr>
                <w:b w:val="0"/>
                <w:sz w:val="16"/>
              </w:rPr>
            </w:pPr>
            <w:r>
              <w:rPr>
                <w:b w:val="0"/>
                <w:sz w:val="16"/>
              </w:rPr>
              <w:t>152 173 496,00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100 000,00 (6B)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2 500 000,00</w:t>
            </w:r>
            <w:r>
              <w:rPr>
                <w:b w:val="0"/>
                <w:sz w:val="16"/>
              </w:rPr>
              <w:br/>
            </w:r>
            <w:r>
              <w:rPr>
                <w:b w:val="0"/>
                <w:sz w:val="16"/>
              </w:rPr>
              <w:t>0,00</w:t>
            </w:r>
            <w:r>
              <w:rPr>
                <w:b w:val="0"/>
                <w:sz w:val="16"/>
              </w:rPr>
              <w:br/>
            </w:r>
            <w:r>
              <w:rPr>
                <w:b w:val="0"/>
                <w:sz w:val="16"/>
              </w:rPr>
              <w:t>2 500 000,00</w:t>
            </w:r>
          </w:p>
        </w:tc>
        <w:tc>
          <w:tcPr>
            <w:tcW w:w="2400" w:type="dxa"/>
            <w:shd w:val="clear" w:color="auto" w:fill="C0C0C0"/>
            <w:noWrap w:val="0"/>
            <w:tcMar>
              <w:top w:w="60" w:type="dxa"/>
            </w:tcMar>
            <w:vAlign w:val="top"/>
          </w:tcPr>
          <w:p>
            <w:pPr>
              <w:jc w:val="right"/>
              <w:rPr>
                <w:b w:val="0"/>
                <w:sz w:val="16"/>
              </w:rPr>
            </w:pPr>
            <w:r>
              <w:rPr>
                <w:b w:val="0"/>
                <w:sz w:val="16"/>
              </w:rPr>
              <w:t>152 273 496,00</w:t>
            </w:r>
            <w:r>
              <w:rPr>
                <w:b w:val="0"/>
                <w:sz w:val="16"/>
              </w:rPr>
              <w:br/>
            </w:r>
            <w:r>
              <w:rPr>
                <w:b w:val="0"/>
                <w:sz w:val="16"/>
              </w:rPr>
              <w:t>0,00</w:t>
            </w:r>
            <w:r>
              <w:rPr>
                <w:b w:val="0"/>
                <w:sz w:val="16"/>
              </w:rPr>
              <w:br/>
            </w:r>
            <w:r>
              <w:rPr>
                <w:b w:val="0"/>
                <w:sz w:val="16"/>
              </w:rPr>
              <w:t>152 273 496,00</w:t>
            </w:r>
          </w:p>
        </w:tc>
      </w:tr>
    </w:tbl>
    <w:p>
      <w:pPr>
        <w:pStyle w:val="Heading3"/>
        <w:jc w:val="left"/>
        <w:rPr>
          <w:b w:val="0"/>
        </w:rPr>
      </w:pPr>
      <w:r>
        <w:rPr>
          <w:b/>
        </w:rPr>
        <w:br w:type="page"/>
      </w:r>
      <w:bookmarkStart w:id="162" w:name="_Toc256000162"/>
      <w:r>
        <w:rPr>
          <w:b w:val="0"/>
        </w:rPr>
        <w:t>М20 — Техническа помощ държави членки (членове 51 — 54)</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55 656 074,00</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55 656 074,00</w:t>
            </w:r>
            <w:r>
              <w:rPr>
                <w:b w:val="0"/>
                <w:sz w:val="16"/>
              </w:rPr>
              <w:br/>
            </w:r>
            <w:r>
              <w:rPr>
                <w:b w:val="0"/>
                <w:sz w:val="16"/>
              </w:rPr>
              <w:t>0,00</w:t>
            </w:r>
            <w:r>
              <w:rPr>
                <w:b w:val="0"/>
                <w:sz w:val="16"/>
              </w:rPr>
              <w:br/>
            </w:r>
            <w:r>
              <w:rPr>
                <w:b w:val="0"/>
                <w:sz w:val="16"/>
              </w:rPr>
              <w:t>55 656 074,00</w:t>
            </w:r>
          </w:p>
        </w:tc>
      </w:tr>
    </w:tbl>
    <w:p>
      <w:pPr>
        <w:pStyle w:val="Heading3"/>
        <w:jc w:val="left"/>
        <w:rPr>
          <w:b w:val="0"/>
        </w:rPr>
      </w:pPr>
      <w:r>
        <w:rPr>
          <w:b/>
        </w:rPr>
        <w:br w:type="page"/>
      </w:r>
      <w:bookmarkStart w:id="163" w:name="_Toc25600016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32 501 864,00 (2A)</w:t>
            </w:r>
          </w:p>
          <w:p>
            <w:pPr>
              <w:jc w:val="right"/>
              <w:rPr>
                <w:b w:val="0"/>
                <w:sz w:val="16"/>
              </w:rPr>
            </w:pPr>
            <w:r>
              <w:rPr>
                <w:b w:val="0"/>
                <w:sz w:val="16"/>
              </w:rPr>
              <w:t>3 298 304,00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35 800 168,00</w:t>
            </w:r>
            <w:r>
              <w:rPr>
                <w:b w:val="0"/>
                <w:sz w:val="16"/>
              </w:rPr>
              <w:br/>
            </w:r>
            <w:r>
              <w:rPr>
                <w:b w:val="0"/>
                <w:sz w:val="16"/>
              </w:rPr>
              <w:t>0,00</w:t>
            </w:r>
            <w:r>
              <w:rPr>
                <w:b w:val="0"/>
                <w:sz w:val="16"/>
              </w:rPr>
              <w:br/>
            </w:r>
            <w:r>
              <w:rPr>
                <w:b w:val="0"/>
                <w:sz w:val="16"/>
              </w:rPr>
              <w:t>35 800 168,00</w:t>
            </w:r>
          </w:p>
        </w:tc>
      </w:tr>
    </w:tbl>
    <w:p>
      <w:pPr>
        <w:pStyle w:val="Heading3"/>
        <w:jc w:val="left"/>
        <w:rPr>
          <w:b w:val="0"/>
        </w:rPr>
      </w:pPr>
      <w:r>
        <w:rPr>
          <w:b/>
        </w:rPr>
        <w:br w:type="page"/>
      </w:r>
      <w:bookmarkStart w:id="164" w:name="_Toc256000164"/>
      <w:r>
        <w:rPr>
          <w:b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bookmarkEnd w:id="1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25 043 975,00 (2A)</w:t>
            </w:r>
          </w:p>
          <w:p>
            <w:pPr>
              <w:jc w:val="right"/>
              <w:rPr>
                <w:b w:val="0"/>
                <w:sz w:val="16"/>
              </w:rPr>
            </w:pPr>
            <w:r>
              <w:rPr>
                <w:b w:val="0"/>
                <w:sz w:val="16"/>
              </w:rPr>
              <w:t>2 975 000,00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28 018 975,00</w:t>
            </w:r>
            <w:r>
              <w:rPr>
                <w:b w:val="0"/>
                <w:sz w:val="16"/>
              </w:rPr>
              <w:br/>
            </w:r>
            <w:r>
              <w:rPr>
                <w:b w:val="0"/>
                <w:sz w:val="16"/>
              </w:rPr>
              <w:t>0,00</w:t>
            </w:r>
            <w:r>
              <w:rPr>
                <w:b w:val="0"/>
                <w:sz w:val="16"/>
              </w:rPr>
              <w:br/>
            </w:r>
            <w:r>
              <w:rPr>
                <w:b w:val="0"/>
                <w:sz w:val="16"/>
              </w:rPr>
              <w:t>28 018 975,00</w:t>
            </w:r>
          </w:p>
        </w:tc>
      </w:tr>
    </w:tbl>
    <w:p>
      <w:pPr>
        <w:rPr>
          <w:b/>
        </w:rPr>
        <w:sectPr>
          <w:pgSz w:w="15840" w:h="12240" w:orient="landscape"/>
          <w:pgMar w:top="900" w:right="900" w:bottom="900" w:left="900" w:header="720" w:footer="720"/>
          <w:cols w:space="720"/>
        </w:sectPr>
      </w:pPr>
    </w:p>
    <w:p>
      <w:pPr>
        <w:pStyle w:val="Heading2"/>
      </w:pPr>
      <w:bookmarkStart w:id="165" w:name="_Toc256000165"/>
      <w:r>
        <w:t>Ориентировъчна разбивка по мярка за всяка подпрограма</w:t>
      </w:r>
      <w:bookmarkEnd w:id="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400" w:type="dxa"/>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2400" w:type="dxa"/>
            <w:shd w:val="clear" w:color="auto" w:fill="C0C0C0"/>
            <w:noWrap w:val="0"/>
            <w:tcMar>
              <w:top w:w="60" w:type="dxa"/>
            </w:tcMar>
            <w:vAlign w:val="top"/>
          </w:tcPr>
          <w:p>
            <w:pPr>
              <w:jc w:val="center"/>
              <w:rPr>
                <w:b w:val="0"/>
                <w:sz w:val="16"/>
              </w:rPr>
            </w:pPr>
            <w:r>
              <w:rPr>
                <w:b w:val="0"/>
                <w:sz w:val="16"/>
              </w:rPr>
              <w:t>Мярка</w:t>
            </w:r>
          </w:p>
        </w:tc>
        <w:tc>
          <w:tcPr>
            <w:tcW w:w="2400" w:type="dxa"/>
            <w:shd w:val="clear" w:color="auto" w:fill="C0C0C0"/>
            <w:noWrap w:val="0"/>
            <w:tcMar>
              <w:top w:w="60" w:type="dxa"/>
            </w:tcMar>
            <w:vAlign w:val="top"/>
          </w:tcPr>
          <w:p>
            <w:pPr>
              <w:jc w:val="center"/>
              <w:rPr>
                <w:b w:val="0"/>
                <w:sz w:val="16"/>
              </w:rPr>
            </w:pPr>
            <w:r>
              <w:rPr>
                <w:b w:val="0"/>
                <w:sz w:val="16"/>
              </w:rPr>
              <w:t>Общо планирано участие на Съюза за периода 2014—2022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14 937 966,00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4 760 000,00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78 822 416,00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6" w:name="_Toc256000166"/>
      <w:r>
        <w:t>План на показателите</w:t>
      </w:r>
      <w:bookmarkEnd w:id="166"/>
    </w:p>
    <w:p>
      <w:pPr>
        <w:pStyle w:val="Heading2"/>
      </w:pPr>
      <w:bookmarkStart w:id="167" w:name="_Toc256000167"/>
      <w:r>
        <w:t>План на показателите</w:t>
      </w:r>
      <w:bookmarkEnd w:id="167"/>
    </w:p>
    <w:p>
      <w:pPr>
        <w:pStyle w:val="Heading3"/>
        <w:jc w:val="left"/>
        <w:rPr>
          <w:b w:val="0"/>
        </w:rPr>
      </w:pPr>
      <w:bookmarkStart w:id="168" w:name="_Toc256000168"/>
      <w:r>
        <w:rPr>
          <w:b w:val="0"/>
        </w:rPr>
        <w:t>P1: Стимулиране на трансфера на знания и иновациите в областта на селското и горското стопанство и селските райони</w:t>
      </w:r>
      <w:bookmarkEnd w:id="168"/>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1,27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3 789 090 449,00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48 030 830,61</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14 188 889,30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20 828 609,00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13 013 333,20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750" w:type="pct"/>
            <w:shd w:val="clear" w:color="auto" w:fill="FFFFFF"/>
            <w:noWrap w:val="0"/>
            <w:tcMar>
              <w:top w:w="60" w:type="dxa"/>
            </w:tcMar>
            <w:vAlign w:val="center"/>
          </w:tcPr>
          <w:p>
            <w:pPr>
              <w:spacing w:before="20" w:after="20"/>
              <w:jc w:val="right"/>
              <w:rPr>
                <w:b w:val="0"/>
                <w:sz w:val="16"/>
              </w:rPr>
            </w:pPr>
            <w:r>
              <w:rPr>
                <w:b w:val="0"/>
                <w:sz w:val="16"/>
              </w:rPr>
              <w:t>450,00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4 370,00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4 370,00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9" w:name="_Toc256000169"/>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9"/>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0,54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1 174 117,80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6 011 111,10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7 130,00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8 500 000,00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750" w:type="pct"/>
            <w:shd w:val="clear" w:color="auto" w:fill="FFFFFF"/>
            <w:noWrap w:val="0"/>
            <w:tcMar>
              <w:top w:w="60" w:type="dxa"/>
            </w:tcMar>
            <w:vAlign w:val="center"/>
          </w:tcPr>
          <w:p>
            <w:pPr>
              <w:spacing w:before="20" w:after="20"/>
              <w:jc w:val="right"/>
              <w:rPr>
                <w:b w:val="0"/>
                <w:sz w:val="16"/>
              </w:rPr>
            </w:pPr>
            <w:r>
              <w:rPr>
                <w:b w:val="0"/>
                <w:sz w:val="16"/>
              </w:rPr>
              <w:t>29 965 859,90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650 595 258,80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750" w:type="pct"/>
            <w:shd w:val="clear" w:color="auto" w:fill="FFFFFF"/>
            <w:noWrap w:val="0"/>
            <w:tcMar>
              <w:top w:w="60" w:type="dxa"/>
            </w:tcMar>
            <w:vAlign w:val="center"/>
          </w:tcPr>
          <w:p>
            <w:pPr>
              <w:spacing w:before="20" w:after="20"/>
              <w:jc w:val="right"/>
              <w:rPr>
                <w:b w:val="0"/>
                <w:sz w:val="16"/>
              </w:rPr>
            </w:pPr>
            <w:r>
              <w:rPr>
                <w:b w:val="0"/>
                <w:sz w:val="16"/>
              </w:rPr>
              <w:t>418 038 192,80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418 038 192,80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750" w:type="pct"/>
            <w:shd w:val="clear" w:color="auto" w:fill="FFFFFF"/>
            <w:noWrap w:val="0"/>
            <w:tcMar>
              <w:top w:w="60" w:type="dxa"/>
            </w:tcMar>
            <w:vAlign w:val="center"/>
          </w:tcPr>
          <w:p>
            <w:pPr>
              <w:spacing w:before="20" w:after="20"/>
              <w:jc w:val="right"/>
              <w:rPr>
                <w:b w:val="0"/>
                <w:sz w:val="16"/>
              </w:rPr>
            </w:pPr>
            <w:r>
              <w:rPr>
                <w:b w:val="0"/>
                <w:sz w:val="16"/>
              </w:rPr>
              <w:t>4 200,00</w:t>
            </w:r>
          </w:p>
        </w:tc>
        <w:tc>
          <w:tcPr>
            <w:tcW w:w="750" w:type="pct"/>
            <w:shd w:val="clear" w:color="auto" w:fill="FFFFFF"/>
            <w:noWrap w:val="0"/>
            <w:tcMar>
              <w:top w:w="60" w:type="dxa"/>
            </w:tcMar>
            <w:vAlign w:val="center"/>
          </w:tcPr>
          <w:p>
            <w:pPr>
              <w:spacing w:before="20" w:after="20"/>
              <w:jc w:val="right"/>
              <w:rPr>
                <w:b w:val="0"/>
                <w:sz w:val="16"/>
              </w:rPr>
            </w:pPr>
            <w:r>
              <w:rPr>
                <w:b w:val="0"/>
                <w:sz w:val="16"/>
              </w:rPr>
              <w:t>1 300,00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80 651 176,50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80 651 176,50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3 811 111,10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38 237 487,40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29 463 500,00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31 000,00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1,00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3 700,00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744 444,40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744 444,40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2 624 999,80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750" w:type="pct"/>
            <w:shd w:val="clear" w:color="auto" w:fill="FFFFFF"/>
            <w:noWrap w:val="0"/>
            <w:tcMar>
              <w:top w:w="60" w:type="dxa"/>
            </w:tcMar>
            <w:vAlign w:val="center"/>
          </w:tcPr>
          <w:p>
            <w:pPr>
              <w:spacing w:before="20" w:after="20"/>
              <w:jc w:val="right"/>
              <w:rPr>
                <w:b w:val="0"/>
                <w:sz w:val="16"/>
              </w:rPr>
            </w:pPr>
            <w:r>
              <w:rPr>
                <w:b w:val="0"/>
                <w:sz w:val="16"/>
              </w:rPr>
              <w:t>260,00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135 612 555,80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81 367 533,50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750" w:type="pct"/>
            <w:shd w:val="clear" w:color="auto" w:fill="FFFFFF"/>
            <w:noWrap w:val="0"/>
            <w:tcMar>
              <w:top w:w="60" w:type="dxa"/>
            </w:tcMar>
            <w:vAlign w:val="center"/>
          </w:tcPr>
          <w:p>
            <w:pPr>
              <w:spacing w:before="20" w:after="20"/>
              <w:jc w:val="right"/>
              <w:rPr>
                <w:b w:val="0"/>
                <w:sz w:val="16"/>
              </w:rPr>
            </w:pPr>
            <w:r>
              <w:rPr>
                <w:b w:val="0"/>
                <w:sz w:val="16"/>
              </w:rPr>
              <w:t>3 700,00</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96 935 243,20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750" w:type="pct"/>
            <w:shd w:val="clear" w:color="auto" w:fill="FFFFFF"/>
            <w:noWrap w:val="0"/>
            <w:tcMar>
              <w:top w:w="60" w:type="dxa"/>
            </w:tcMar>
            <w:vAlign w:val="center"/>
          </w:tcPr>
          <w:p>
            <w:pPr>
              <w:spacing w:before="20" w:after="20"/>
              <w:jc w:val="right"/>
              <w:rPr>
                <w:b w:val="0"/>
                <w:sz w:val="16"/>
              </w:rPr>
            </w:pPr>
            <w:r>
              <w:rPr>
                <w:b w:val="0"/>
                <w:sz w:val="16"/>
              </w:rPr>
              <w:t>96 935 243,20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96 935 243,20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17 264 706,00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3"/>
        <w:jc w:val="left"/>
        <w:rPr>
          <w:b w:val="0"/>
        </w:rPr>
      </w:pPr>
      <w:bookmarkStart w:id="170" w:name="_Toc256000170"/>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70"/>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0,04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145,00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155 555,60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155 555,60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600 000,30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750" w:type="pct"/>
            <w:shd w:val="clear" w:color="auto" w:fill="FFFFFF"/>
            <w:noWrap w:val="0"/>
            <w:tcMar>
              <w:top w:w="60" w:type="dxa"/>
            </w:tcMar>
            <w:vAlign w:val="center"/>
          </w:tcPr>
          <w:p>
            <w:pPr>
              <w:spacing w:before="20" w:after="20"/>
              <w:jc w:val="right"/>
              <w:rPr>
                <w:b w:val="0"/>
                <w:sz w:val="16"/>
              </w:rPr>
            </w:pPr>
            <w:r>
              <w:rPr>
                <w:b w:val="0"/>
                <w:sz w:val="16"/>
              </w:rPr>
              <w:t>330,00</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746 068 169,20</w:t>
            </w:r>
          </w:p>
        </w:tc>
        <w:tc>
          <w:tcPr>
            <w:tcW w:w="750" w:type="pct"/>
            <w:shd w:val="clear" w:color="auto" w:fill="FFFFFF"/>
            <w:noWrap w:val="0"/>
            <w:tcMar>
              <w:top w:w="60" w:type="dxa"/>
            </w:tcMar>
            <w:vAlign w:val="center"/>
          </w:tcPr>
          <w:p>
            <w:pPr>
              <w:spacing w:before="20" w:after="20"/>
              <w:jc w:val="right"/>
              <w:rPr>
                <w:b w:val="0"/>
                <w:sz w:val="16"/>
              </w:rPr>
            </w:pPr>
            <w:r>
              <w:rPr>
                <w:b w:val="0"/>
                <w:sz w:val="16"/>
              </w:rPr>
              <w:t>133 233 722,00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373 194 274,90</w:t>
            </w:r>
          </w:p>
        </w:tc>
        <w:tc>
          <w:tcPr>
            <w:tcW w:w="750" w:type="pct"/>
            <w:shd w:val="clear" w:color="auto" w:fill="FFFFFF"/>
            <w:noWrap w:val="0"/>
            <w:tcMar>
              <w:top w:w="60" w:type="dxa"/>
            </w:tcMar>
            <w:vAlign w:val="center"/>
          </w:tcPr>
          <w:p>
            <w:pPr>
              <w:spacing w:before="20" w:after="20"/>
              <w:jc w:val="right"/>
              <w:rPr>
                <w:b w:val="0"/>
                <w:sz w:val="16"/>
              </w:rPr>
            </w:pPr>
            <w:r>
              <w:rPr>
                <w:b w:val="0"/>
                <w:sz w:val="16"/>
              </w:rPr>
              <w:t>66 616 861,00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750" w:type="pct"/>
            <w:shd w:val="clear" w:color="auto" w:fill="FFFFFF"/>
            <w:noWrap w:val="0"/>
            <w:tcMar>
              <w:top w:w="60" w:type="dxa"/>
            </w:tcMar>
            <w:vAlign w:val="center"/>
          </w:tcPr>
          <w:p>
            <w:pPr>
              <w:spacing w:before="20" w:after="20"/>
              <w:jc w:val="right"/>
              <w:rPr>
                <w:b w:val="0"/>
                <w:sz w:val="16"/>
              </w:rPr>
            </w:pPr>
            <w:r>
              <w:rPr>
                <w:b w:val="0"/>
                <w:sz w:val="16"/>
              </w:rPr>
              <w:t>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6 538 724,20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22 331 536,50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2 544 444,40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1 250,00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1 222 222,20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1 222 222,20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600 000,30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750" w:type="pct"/>
            <w:shd w:val="clear" w:color="auto" w:fill="FFFFFF"/>
            <w:noWrap w:val="0"/>
            <w:tcMar>
              <w:top w:w="60" w:type="dxa"/>
            </w:tcMar>
            <w:vAlign w:val="center"/>
          </w:tcPr>
          <w:p>
            <w:pPr>
              <w:spacing w:before="20" w:after="20"/>
              <w:jc w:val="right"/>
              <w:rPr>
                <w:b w:val="0"/>
                <w:sz w:val="16"/>
              </w:rPr>
            </w:pPr>
            <w:r>
              <w:rPr>
                <w:b w:val="0"/>
                <w:sz w:val="16"/>
              </w:rPr>
              <w:t>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750" w:type="pct"/>
            <w:shd w:val="clear" w:color="auto" w:fill="FFFFFF"/>
            <w:noWrap w:val="0"/>
            <w:tcMar>
              <w:top w:w="60" w:type="dxa"/>
            </w:tcMar>
            <w:vAlign w:val="center"/>
          </w:tcPr>
          <w:p>
            <w:pPr>
              <w:spacing w:before="20" w:after="20"/>
              <w:jc w:val="right"/>
              <w:rPr>
                <w:b w:val="0"/>
                <w:sz w:val="16"/>
              </w:rPr>
            </w:pPr>
            <w:r>
              <w:rPr>
                <w:b w:val="0"/>
                <w:sz w:val="16"/>
              </w:rPr>
              <w:t>15 489 335,00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750" w:type="pct"/>
            <w:shd w:val="clear" w:color="auto" w:fill="FFFFFF"/>
            <w:noWrap w:val="0"/>
            <w:tcMar>
              <w:top w:w="60" w:type="dxa"/>
            </w:tcMar>
            <w:vAlign w:val="center"/>
          </w:tcPr>
          <w:p>
            <w:pPr>
              <w:spacing w:before="20" w:after="20"/>
              <w:jc w:val="right"/>
              <w:rPr>
                <w:b w:val="0"/>
                <w:sz w:val="16"/>
              </w:rPr>
            </w:pPr>
            <w:r>
              <w:rPr>
                <w:b w:val="0"/>
                <w:sz w:val="16"/>
              </w:rPr>
              <w:t>15 589 335,00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1" w:name="_Toc256000171"/>
      <w:r>
        <w:rPr>
          <w:b w:val="0"/>
        </w:rPr>
        <w:t>P4: Възстановяване, опазване и укрепване на екосистемите, свързани със селското и горското стопанство</w:t>
      </w:r>
      <w:bookmarkEnd w:id="171"/>
    </w:p>
    <w:p>
      <w:pPr>
        <w:rPr>
          <w:b/>
          <w:i/>
        </w:rPr>
      </w:pPr>
      <w:r>
        <w:rPr>
          <w:b/>
          <w:i/>
        </w:rPr>
        <w:t>Селско стопанство</w:t>
      </w: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636 504,00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2 955 556,00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3 420,00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3 650 000,00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750" w:type="pct"/>
            <w:shd w:val="clear" w:color="auto" w:fill="FFFFFF"/>
            <w:noWrap w:val="0"/>
            <w:tcMar>
              <w:top w:w="60" w:type="dxa"/>
            </w:tcMar>
            <w:vAlign w:val="center"/>
          </w:tcPr>
          <w:p>
            <w:pPr>
              <w:spacing w:before="20" w:after="20"/>
              <w:jc w:val="right"/>
              <w:rPr>
                <w:b w:val="0"/>
                <w:sz w:val="16"/>
              </w:rPr>
            </w:pPr>
            <w:r>
              <w:rPr>
                <w:b w:val="0"/>
                <w:sz w:val="16"/>
              </w:rPr>
              <w:t>280,00</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93 667 066,00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56 200 240,00</w:t>
            </w:r>
          </w:p>
        </w:tc>
        <w:tc>
          <w:tcPr>
            <w:tcW w:w="750" w:type="pct"/>
            <w:shd w:val="clear" w:color="auto" w:fill="FFFFFF"/>
            <w:noWrap w:val="0"/>
            <w:tcMar>
              <w:top w:w="60" w:type="dxa"/>
            </w:tcMar>
            <w:vAlign w:val="center"/>
          </w:tcPr>
          <w:p>
            <w:pPr>
              <w:spacing w:before="20" w:after="20"/>
              <w:jc w:val="right"/>
              <w:rPr>
                <w:b w:val="0"/>
                <w:sz w:val="16"/>
              </w:rPr>
            </w:pPr>
            <w:r>
              <w:rPr>
                <w:b w:val="0"/>
                <w:sz w:val="16"/>
              </w:rPr>
              <w:t>44 005 238,00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750" w:type="pct"/>
            <w:shd w:val="clear" w:color="auto" w:fill="FFFFFF"/>
            <w:noWrap w:val="0"/>
            <w:tcMar>
              <w:top w:w="60" w:type="dxa"/>
            </w:tcMar>
            <w:vAlign w:val="center"/>
          </w:tcPr>
          <w:p>
            <w:pPr>
              <w:spacing w:before="20" w:after="20"/>
              <w:jc w:val="right"/>
              <w:rPr>
                <w:b w:val="0"/>
                <w:sz w:val="16"/>
              </w:rPr>
            </w:pPr>
            <w:r>
              <w:rPr>
                <w:b w:val="0"/>
                <w:sz w:val="16"/>
              </w:rPr>
              <w:t>113 000,00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233 051 283,00</w:t>
            </w:r>
          </w:p>
        </w:tc>
        <w:tc>
          <w:tcPr>
            <w:tcW w:w="75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750" w:type="pct"/>
            <w:shd w:val="clear" w:color="auto" w:fill="FFFFFF"/>
            <w:noWrap w:val="0"/>
            <w:tcMar>
              <w:top w:w="60" w:type="dxa"/>
            </w:tcMar>
            <w:vAlign w:val="center"/>
          </w:tcPr>
          <w:p>
            <w:pPr>
              <w:spacing w:before="20" w:after="20"/>
              <w:jc w:val="right"/>
              <w:rPr>
                <w:b w:val="0"/>
                <w:sz w:val="16"/>
              </w:rPr>
            </w:pPr>
            <w:r>
              <w:rPr>
                <w:b w:val="0"/>
                <w:sz w:val="16"/>
              </w:rPr>
              <w:t>23 000,00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213 943 439,00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750" w:type="pct"/>
            <w:shd w:val="clear" w:color="auto" w:fill="FFFFFF"/>
            <w:noWrap w:val="0"/>
            <w:tcMar>
              <w:top w:w="60" w:type="dxa"/>
            </w:tcMar>
            <w:vAlign w:val="center"/>
          </w:tcPr>
          <w:p>
            <w:pPr>
              <w:spacing w:before="20" w:after="20"/>
              <w:jc w:val="right"/>
              <w:rPr>
                <w:b w:val="0"/>
                <w:sz w:val="16"/>
              </w:rPr>
            </w:pPr>
            <w:r>
              <w:rPr>
                <w:b w:val="0"/>
                <w:sz w:val="16"/>
              </w:rPr>
              <w:t>385 000,00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198 276 037,00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750" w:type="pct"/>
            <w:shd w:val="clear" w:color="auto" w:fill="FFFFFF"/>
            <w:noWrap w:val="0"/>
            <w:tcMar>
              <w:top w:w="60" w:type="dxa"/>
            </w:tcMar>
            <w:vAlign w:val="center"/>
          </w:tcPr>
          <w:p>
            <w:pPr>
              <w:spacing w:before="20" w:after="20"/>
              <w:jc w:val="right"/>
              <w:rPr>
                <w:b w:val="0"/>
                <w:sz w:val="16"/>
              </w:rPr>
            </w:pPr>
            <w:r>
              <w:rPr>
                <w:b w:val="0"/>
                <w:sz w:val="16"/>
              </w:rPr>
              <w:t>310 000,00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750" w:type="pct"/>
            <w:shd w:val="clear" w:color="auto" w:fill="FFFFFF"/>
            <w:noWrap w:val="0"/>
            <w:tcMar>
              <w:top w:w="60" w:type="dxa"/>
            </w:tcMar>
            <w:vAlign w:val="center"/>
          </w:tcPr>
          <w:p>
            <w:pPr>
              <w:spacing w:before="20" w:after="20"/>
              <w:jc w:val="right"/>
              <w:rPr>
                <w:b w:val="0"/>
                <w:sz w:val="16"/>
              </w:rPr>
            </w:pPr>
            <w:r>
              <w:rPr>
                <w:b w:val="0"/>
                <w:sz w:val="16"/>
              </w:rPr>
              <w:t>220 000,00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383 814 675,00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3 311 111,00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rPr>
          <w:b/>
          <w:i/>
        </w:rPr>
      </w:pPr>
      <w:r>
        <w:rPr>
          <w:b/>
          <w:i/>
        </w:rPr>
        <w:t>Горско стопанство</w:t>
      </w: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16 791 949,40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2" w:name="_Toc256000172"/>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2"/>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860,00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857 053,30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1 588 888,90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960,00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429 999,90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750" w:type="pct"/>
            <w:shd w:val="clear" w:color="auto" w:fill="FFFFFF"/>
            <w:noWrap w:val="0"/>
            <w:tcMar>
              <w:top w:w="60" w:type="dxa"/>
            </w:tcMar>
            <w:vAlign w:val="center"/>
          </w:tcPr>
          <w:p>
            <w:pPr>
              <w:spacing w:before="20" w:after="20"/>
              <w:jc w:val="right"/>
              <w:rPr>
                <w:b w:val="0"/>
                <w:sz w:val="16"/>
              </w:rPr>
            </w:pPr>
            <w:r>
              <w:rPr>
                <w:b w:val="0"/>
                <w:sz w:val="16"/>
              </w:rPr>
              <w:t>35 000,00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107 579 312,00</w:t>
            </w:r>
          </w:p>
        </w:tc>
        <w:tc>
          <w:tcPr>
            <w:tcW w:w="750" w:type="pct"/>
            <w:shd w:val="clear" w:color="auto" w:fill="FFFFFF"/>
            <w:noWrap w:val="0"/>
            <w:tcMar>
              <w:top w:w="60" w:type="dxa"/>
            </w:tcMar>
            <w:vAlign w:val="center"/>
          </w:tcPr>
          <w:p>
            <w:pPr>
              <w:spacing w:before="20" w:after="20"/>
              <w:jc w:val="right"/>
              <w:rPr>
                <w:b w:val="0"/>
                <w:sz w:val="16"/>
              </w:rPr>
            </w:pPr>
            <w:r>
              <w:rPr>
                <w:b w:val="0"/>
                <w:sz w:val="16"/>
              </w:rPr>
              <w:t>13 929 596,00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107 579 312,00</w:t>
            </w:r>
          </w:p>
        </w:tc>
        <w:tc>
          <w:tcPr>
            <w:tcW w:w="750" w:type="pct"/>
            <w:shd w:val="clear" w:color="auto" w:fill="FFFFFF"/>
            <w:noWrap w:val="0"/>
            <w:tcMar>
              <w:top w:w="60" w:type="dxa"/>
            </w:tcMar>
            <w:vAlign w:val="center"/>
          </w:tcPr>
          <w:p>
            <w:pPr>
              <w:spacing w:before="20" w:after="20"/>
              <w:jc w:val="right"/>
              <w:rPr>
                <w:b w:val="0"/>
                <w:sz w:val="16"/>
              </w:rPr>
            </w:pPr>
            <w:r>
              <w:rPr>
                <w:b w:val="0"/>
                <w:sz w:val="16"/>
              </w:rPr>
              <w:t>13 929 596,00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1 133 333,30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294 373 873,60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75 467,80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333 333,30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1 060,00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55,00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290 552 105,60</w:t>
            </w:r>
          </w:p>
        </w:tc>
        <w:tc>
          <w:tcPr>
            <w:tcW w:w="750" w:type="pct"/>
            <w:shd w:val="clear" w:color="auto" w:fill="FFFFFF"/>
            <w:noWrap w:val="0"/>
            <w:tcMar>
              <w:top w:w="60" w:type="dxa"/>
            </w:tcMar>
            <w:vAlign w:val="center"/>
          </w:tcPr>
          <w:p>
            <w:pPr>
              <w:spacing w:before="20" w:after="20"/>
              <w:jc w:val="right"/>
              <w:rPr>
                <w:b w:val="0"/>
                <w:sz w:val="16"/>
              </w:rPr>
            </w:pPr>
            <w:r>
              <w:rPr>
                <w:b w:val="0"/>
                <w:sz w:val="16"/>
              </w:rPr>
              <w:t>15 709 075,55</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161 982 217,70</w:t>
            </w:r>
          </w:p>
        </w:tc>
        <w:tc>
          <w:tcPr>
            <w:tcW w:w="750" w:type="pct"/>
            <w:shd w:val="clear" w:color="auto" w:fill="FFFFFF"/>
            <w:noWrap w:val="0"/>
            <w:tcMar>
              <w:top w:w="60" w:type="dxa"/>
            </w:tcMar>
            <w:vAlign w:val="center"/>
          </w:tcPr>
          <w:p>
            <w:pPr>
              <w:spacing w:before="20" w:after="20"/>
              <w:jc w:val="right"/>
              <w:rPr>
                <w:b w:val="0"/>
                <w:sz w:val="16"/>
              </w:rPr>
            </w:pPr>
            <w:r>
              <w:rPr>
                <w:b w:val="0"/>
                <w:sz w:val="16"/>
              </w:rPr>
              <w:t>7 854 537,80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422 222,20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115 887 288,00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122 222,20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122 222,20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530,00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1 141 202,90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97 901 920,90</w:t>
            </w:r>
          </w:p>
        </w:tc>
        <w:tc>
          <w:tcPr>
            <w:tcW w:w="750" w:type="pct"/>
            <w:shd w:val="clear" w:color="auto" w:fill="FFFFFF"/>
            <w:noWrap w:val="0"/>
            <w:tcMar>
              <w:top w:w="60" w:type="dxa"/>
            </w:tcMar>
            <w:vAlign w:val="center"/>
          </w:tcPr>
          <w:p>
            <w:pPr>
              <w:spacing w:before="20" w:after="20"/>
              <w:jc w:val="right"/>
              <w:rPr>
                <w:b w:val="0"/>
                <w:sz w:val="16"/>
              </w:rPr>
            </w:pPr>
            <w:r>
              <w:rPr>
                <w:b w:val="0"/>
                <w:sz w:val="16"/>
              </w:rPr>
              <w:t>33 861 256,00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49 760 307,00</w:t>
            </w:r>
          </w:p>
        </w:tc>
        <w:tc>
          <w:tcPr>
            <w:tcW w:w="750" w:type="pct"/>
            <w:shd w:val="clear" w:color="auto" w:fill="FFFFFF"/>
            <w:noWrap w:val="0"/>
            <w:tcMar>
              <w:top w:w="60" w:type="dxa"/>
            </w:tcMar>
            <w:vAlign w:val="center"/>
          </w:tcPr>
          <w:p>
            <w:pPr>
              <w:spacing w:before="20" w:after="20"/>
              <w:jc w:val="right"/>
              <w:rPr>
                <w:b w:val="0"/>
                <w:sz w:val="16"/>
              </w:rPr>
            </w:pPr>
            <w:r>
              <w:rPr>
                <w:b w:val="0"/>
                <w:sz w:val="16"/>
              </w:rPr>
              <w:t>16 930 628,00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32 894 361,60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32 894 361,60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755 555,60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210,00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201 541,10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400 000,00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2 520,00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1 141 202,90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2 177 766,10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1 306 660,00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750" w:type="pct"/>
            <w:shd w:val="clear" w:color="auto" w:fill="FFFFFF"/>
            <w:noWrap w:val="0"/>
            <w:tcMar>
              <w:top w:w="60" w:type="dxa"/>
            </w:tcMar>
            <w:vAlign w:val="center"/>
          </w:tcPr>
          <w:p>
            <w:pPr>
              <w:spacing w:before="20" w:after="20"/>
              <w:jc w:val="right"/>
              <w:rPr>
                <w:b w:val="0"/>
                <w:sz w:val="16"/>
              </w:rPr>
            </w:pPr>
            <w:r>
              <w:rPr>
                <w:b w:val="0"/>
                <w:sz w:val="16"/>
              </w:rPr>
              <w:t>7 000,00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788 888,90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110,00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377 178,90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655 555,60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2 520,00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1 141 202,90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777 778,70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2 397 058,80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246 666,70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3" w:name="_Toc256000173"/>
      <w:r>
        <w:rPr>
          <w:b w:val="0"/>
        </w:rPr>
        <w:t>P6: Насърчаване на социалното приобщаване, намаляването на бедността и икономическото развитие в селските райони</w:t>
      </w:r>
      <w:bookmarkEnd w:id="173"/>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3 500,00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420,00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127 103 281,50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61 504 537,60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3 880 357,50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190,00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800,00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750" w:type="pct"/>
            <w:shd w:val="clear" w:color="auto" w:fill="FFFFFF"/>
            <w:noWrap w:val="0"/>
            <w:tcMar>
              <w:top w:w="60" w:type="dxa"/>
            </w:tcMar>
            <w:vAlign w:val="center"/>
          </w:tcPr>
          <w:p>
            <w:pPr>
              <w:spacing w:before="20" w:after="20"/>
              <w:jc w:val="right"/>
              <w:rPr>
                <w:b w:val="0"/>
                <w:sz w:val="16"/>
              </w:rPr>
            </w:pPr>
            <w:r>
              <w:rPr>
                <w:b w:val="0"/>
                <w:sz w:val="16"/>
              </w:rPr>
              <w:t>1 995 000,00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758 953 788,20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1 370 000,00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750" w:type="pct"/>
            <w:shd w:val="clear" w:color="auto" w:fill="FFFFFF"/>
            <w:noWrap w:val="0"/>
            <w:tcMar>
              <w:top w:w="60" w:type="dxa"/>
            </w:tcMar>
            <w:vAlign w:val="center"/>
          </w:tcPr>
          <w:p>
            <w:pPr>
              <w:spacing w:before="20" w:after="20"/>
              <w:jc w:val="right"/>
              <w:rPr>
                <w:b w:val="0"/>
                <w:sz w:val="16"/>
              </w:rPr>
            </w:pPr>
            <w:r>
              <w:rPr>
                <w:b w:val="0"/>
                <w:sz w:val="16"/>
              </w:rPr>
              <w:t>8 023 392,00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60" w:type="dxa"/>
            </w:tcMar>
            <w:vAlign w:val="center"/>
          </w:tcPr>
          <w:p>
            <w:pPr>
              <w:spacing w:before="20" w:after="20"/>
              <w:jc w:val="right"/>
              <w:rPr>
                <w:b w:val="0"/>
                <w:sz w:val="16"/>
              </w:rPr>
            </w:pPr>
            <w:r>
              <w:rPr>
                <w:b w:val="0"/>
                <w:sz w:val="16"/>
              </w:rPr>
              <w:t>120 714 739,10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60" w:type="dxa"/>
            </w:tcMar>
            <w:vAlign w:val="center"/>
          </w:tcPr>
          <w:p>
            <w:pPr>
              <w:spacing w:before="20" w:after="20"/>
              <w:jc w:val="right"/>
              <w:rPr>
                <w:b w:val="0"/>
                <w:sz w:val="16"/>
              </w:rPr>
            </w:pPr>
            <w:r>
              <w:rPr>
                <w:b w:val="0"/>
                <w:sz w:val="16"/>
              </w:rPr>
              <w:t>6 500 000,00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60" w:type="dxa"/>
            </w:tcMar>
            <w:vAlign w:val="center"/>
          </w:tcPr>
          <w:p>
            <w:pPr>
              <w:spacing w:before="20" w:after="20"/>
              <w:jc w:val="right"/>
              <w:rPr>
                <w:b w:val="0"/>
                <w:sz w:val="16"/>
              </w:rPr>
            </w:pPr>
            <w:r>
              <w:rPr>
                <w:b w:val="0"/>
                <w:sz w:val="16"/>
              </w:rPr>
              <w:t>34 118 041,30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4" w:name="_Toc256000174"/>
      <w:r>
        <w:t>Преглед на планираното изпълнение и на планираните разходи по мерки и по области с поставен акцент (генериран автоматично)</w:t>
      </w:r>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5"/>
        <w:gridCol w:w="835"/>
        <w:gridCol w:w="835"/>
        <w:gridCol w:w="835"/>
        <w:gridCol w:w="835"/>
        <w:gridCol w:w="2"/>
        <w:gridCol w:w="833"/>
        <w:gridCol w:w="835"/>
        <w:gridCol w:w="3"/>
        <w:gridCol w:w="832"/>
        <w:gridCol w:w="835"/>
        <w:gridCol w:w="835"/>
        <w:gridCol w:w="2"/>
        <w:gridCol w:w="3"/>
        <w:gridCol w:w="830"/>
        <w:gridCol w:w="2"/>
        <w:gridCol w:w="833"/>
        <w:gridCol w:w="2"/>
        <w:gridCol w:w="833"/>
        <w:gridCol w:w="2"/>
        <w:gridCol w:w="833"/>
        <w:gridCol w:w="2"/>
        <w:gridCol w:w="833"/>
        <w:gridCol w:w="2"/>
        <w:gridCol w:w="6"/>
        <w:gridCol w:w="827"/>
        <w:gridCol w:w="2"/>
        <w:gridCol w:w="833"/>
        <w:gridCol w:w="2"/>
        <w:gridCol w:w="833"/>
        <w:gridCol w:w="2"/>
        <w:gridCol w:w="8"/>
        <w:gridCol w:w="83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750" w:type="pct"/>
            <w:gridSpan w:val="4"/>
            <w:shd w:val="clear" w:color="auto" w:fill="C0C0C0"/>
            <w:noWrap w:val="0"/>
            <w:tcMar>
              <w:top w:w="20" w:type="dxa"/>
              <w:left w:w="20" w:type="dxa"/>
              <w:bottom w:w="20" w:type="dxa"/>
            </w:tcMar>
            <w:vAlign w:val="center"/>
          </w:tcPr>
          <w:p>
            <w:pPr>
              <w:jc w:val="center"/>
              <w:rPr>
                <w:b w:val="0"/>
                <w:sz w:val="16"/>
              </w:rPr>
            </w:pPr>
            <w:r>
              <w:rPr>
                <w:b w:val="0"/>
                <w:sz w:val="16"/>
              </w:rPr>
              <w:t>P2</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P3</w:t>
            </w:r>
          </w:p>
        </w:tc>
        <w:tc>
          <w:tcPr>
            <w:tcW w:w="750" w:type="pct"/>
            <w:gridSpan w:val="5"/>
            <w:shd w:val="clear" w:color="auto" w:fill="C0C0C0"/>
            <w:noWrap w:val="0"/>
            <w:tcMar>
              <w:top w:w="20" w:type="dxa"/>
              <w:left w:w="20" w:type="dxa"/>
              <w:bottom w:w="20" w:type="dxa"/>
            </w:tcMar>
            <w:vAlign w:val="center"/>
          </w:tcPr>
          <w:p>
            <w:pPr>
              <w:jc w:val="center"/>
              <w:rPr>
                <w:b w:val="0"/>
                <w:sz w:val="16"/>
              </w:rPr>
            </w:pPr>
            <w:r>
              <w:rPr>
                <w:b w:val="0"/>
                <w:sz w:val="16"/>
              </w:rPr>
              <w:t>P4</w:t>
            </w:r>
          </w:p>
        </w:tc>
        <w:tc>
          <w:tcPr>
            <w:tcW w:w="750" w:type="pct"/>
            <w:gridSpan w:val="11"/>
            <w:shd w:val="clear" w:color="auto" w:fill="C0C0C0"/>
            <w:noWrap w:val="0"/>
            <w:tcMar>
              <w:top w:w="20" w:type="dxa"/>
              <w:left w:w="20" w:type="dxa"/>
              <w:bottom w:w="20" w:type="dxa"/>
            </w:tcMar>
            <w:vAlign w:val="center"/>
          </w:tcPr>
          <w:p>
            <w:pPr>
              <w:jc w:val="center"/>
              <w:rPr>
                <w:b w:val="0"/>
                <w:sz w:val="16"/>
              </w:rPr>
            </w:pPr>
            <w:r>
              <w:rPr>
                <w:b w:val="0"/>
                <w:sz w:val="16"/>
              </w:rPr>
              <w:t>P5</w:t>
            </w:r>
          </w:p>
        </w:tc>
        <w:tc>
          <w:tcPr>
            <w:tcW w:w="750" w:type="pct"/>
            <w:gridSpan w:val="7"/>
            <w:shd w:val="clear" w:color="auto" w:fill="C0C0C0"/>
            <w:noWrap w:val="0"/>
            <w:tcMar>
              <w:top w:w="20" w:type="dxa"/>
              <w:left w:w="20" w:type="dxa"/>
              <w:bottom w:w="20" w:type="dxa"/>
            </w:tcMar>
            <w:vAlign w:val="center"/>
          </w:tcPr>
          <w:p>
            <w:pPr>
              <w:jc w:val="center"/>
              <w:rPr>
                <w:b w:val="0"/>
                <w:sz w:val="16"/>
              </w:rPr>
            </w:pPr>
            <w:r>
              <w:rPr>
                <w:b w:val="0"/>
                <w:sz w:val="16"/>
              </w:rPr>
              <w:t>P6</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3A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4A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5A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5D</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5E</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6A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6C</w:t>
            </w:r>
          </w:p>
        </w:tc>
        <w:tc>
          <w:tcPr>
            <w:tcW w:w="750" w:type="pct"/>
            <w:gridSpan w:val="3"/>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1,250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430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4,370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1,174,117.8</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744,444.4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155,555.6</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1,222,222.2</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636,504</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857,053.3</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75,467.8</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122,222.2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201,541.1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377,178.9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5,566,307.3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6,011,111.1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744,444.4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155,555.6</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1,222,222.2</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2,955,556</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1,588,888.9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333,333.3</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122,222.2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655,555.6</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14,188,889.3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7,130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720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230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3,420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960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530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2,520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2,520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21,290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8,500,000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2,624,999.8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600,000.3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600,000.3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3,650,000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429,999.9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1,141,202.9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1,141,202.9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1,141,202.9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20,828,609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650,595,258.8</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135,612,555.8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746,068,169.2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93,667,066</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107,579,312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290,552,105.6</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97,901,920.9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2,124,154,154.4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418,038,192.8</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81,367,533.5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373,194,274.9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56,200,240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107,579,312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161,982,217.7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49,760,307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1,249,428,737.9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15,589,335</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15,589,335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80,651,176.5</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96,935,243.2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127,103,281.5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304,689,701.2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80,651,176.5</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96,935,243.2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61,504,537.6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239,090,957.3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32,894,361.6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758,953,788.2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791,848,149.8</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777,778.7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777,778.7</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16,791,949.4</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16,791,949.4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17,264,706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17,264,706</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6,538,724.2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6,538,724.2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233,051,283</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273,051,283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213,943,439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213,943,439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198,276,037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198,276,037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383,814,675</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383,814,675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22,331,536.5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22,331,536.5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3,811,111.1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2,544,444.4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3,311,111</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1,133,333.3</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422,222.2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755,555.6</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788,888.9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246,666.7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13,013,333.2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38,237,487.4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3,880,357.5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42,117,844.9</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29,463,500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32,963,500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31,000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120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w:t>
            </w:r>
          </w:p>
        </w:tc>
      </w:tr>
    </w:tbl>
    <w:p>
      <w:pPr>
        <w:sectPr>
          <w:pgSz w:w="15840" w:h="12240" w:orient="landscape"/>
          <w:pgMar w:top="900" w:right="46" w:bottom="900" w:left="46" w:header="720" w:footer="720"/>
          <w:cols w:space="720"/>
        </w:sectPr>
      </w:pPr>
    </w:p>
    <w:p>
      <w:pPr>
        <w:pStyle w:val="Heading2"/>
      </w:pPr>
      <w:bookmarkStart w:id="175" w:name="_Toc256000175"/>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6" w:name="_Toc256000176"/>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6"/>
    </w:p>
    <w:p>
      <w:pPr>
        <w:pStyle w:val="Heading3"/>
        <w:jc w:val="left"/>
        <w:rPr>
          <w:b w:val="0"/>
        </w:rPr>
      </w:pPr>
      <w:r>
        <w:rPr>
          <w:b w:val="0"/>
        </w:rPr>
        <w:t xml:space="preserve"> </w:t>
      </w:r>
      <w:bookmarkStart w:id="177" w:name="_Toc256000177"/>
      <w:r>
        <w:rPr>
          <w:b w:val="0"/>
        </w:rPr>
        <w:t>Земеделска земя</w:t>
      </w:r>
      <w:bookmarkEnd w:id="177"/>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46 533 882,70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37 867 213,30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29 447 213,30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57 002 426,70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57 200 546,70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40 000 000,00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99 240 383,40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114 703 056,00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198 276 036,60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777 778,70</w:t>
            </w:r>
          </w:p>
        </w:tc>
        <w:tc>
          <w:tcPr>
            <w:tcW w:w="750" w:type="pct"/>
            <w:shd w:val="clear" w:color="auto" w:fill="FFFFFF"/>
            <w:noWrap w:val="0"/>
            <w:tcMar>
              <w:top w:w="60" w:type="dxa"/>
            </w:tcMar>
            <w:vAlign w:val="top"/>
          </w:tcPr>
          <w:p>
            <w:pPr>
              <w:jc w:val="right"/>
              <w:rPr>
                <w:b w:val="0"/>
                <w:sz w:val="16"/>
              </w:rPr>
            </w:pPr>
            <w:r>
              <w:rPr>
                <w:b w:val="0"/>
                <w:sz w:val="16"/>
              </w:rPr>
              <w:t>110,00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8" w:name="_Toc256000178"/>
      <w:r>
        <w:rPr>
          <w:b w:val="0"/>
        </w:rPr>
        <w:t>Горски площи</w:t>
      </w:r>
      <w:bookmarkEnd w:id="178"/>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9" w:name="_Toc256000179"/>
      <w:r>
        <w:t>Специфични за програмата цел и изпълнение</w:t>
      </w:r>
      <w:bookmarkEnd w:id="179"/>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2025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брой</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22"/>
        <w:gridCol w:w="1522"/>
        <w:gridCol w:w="1522"/>
        <w:gridCol w:w="1522"/>
        <w:gridCol w:w="1522"/>
        <w:gridCol w:w="1522"/>
        <w:gridCol w:w="15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sz w:val="20"/>
              </w:rPr>
            </w:pPr>
            <w:r>
              <w:rPr>
                <w:b/>
                <w:sz w:val="20"/>
              </w:rPr>
              <w:t>от които по линия на EURI</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right"/>
              <w:rPr>
                <w:b w:val="0"/>
                <w:sz w:val="16"/>
              </w:rPr>
            </w:pPr>
            <w:r>
              <w:rPr>
                <w:b w:val="0"/>
                <w:sz w:val="16"/>
              </w:rPr>
              <w:t>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80" w:name="_Toc256000180"/>
      <w:r>
        <w:t>Допълнително национално финансиране</w:t>
      </w:r>
      <w:bookmarkEnd w:id="180"/>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81" w:name="_Toc256000181"/>
      <w:r>
        <w:rPr>
          <w:b/>
          <w:i w:val="0"/>
        </w:rPr>
        <w:t>М01 — Трансфер на знания и действия за осведомяване (член 14)</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2" w:name="_Toc256000182"/>
      <w:r>
        <w:rPr>
          <w:b/>
          <w:i w:val="0"/>
        </w:rPr>
        <w:t>М02 —  Консултантски услуги, услуги по управление на стопанство и услуги по заместване в стопанство (член 15)</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M04 — Инвестиции в материални активи (член 17)</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4"/>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5" w:name="_Toc256000185"/>
      <w:r>
        <w:rPr>
          <w:b/>
          <w:i w:val="0"/>
        </w:rPr>
        <w:t>M06 — Развитие на стопанства и предприятия (член 19)</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М07 — Основни услуги и обновяване на селата в селските райони (член 20)</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М08 — Инвестиции в развитие на горските райони и подобряване на жизнеспособността на горите (членове 21 — 26)</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M09 — Създаване на групи и организации на производителите (член 27)</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M10 — Агроекология и климат (член 28)</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М11 — Биологично земеделие (член 29)</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M12 — Плащания по „Натура 2000“ и Рамковата директива за водите (член 30)</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М13 — Плащания за райони, изправени пред природни или други специфични ограничения (член 31)</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M14 — Хуманно отношение към животните (член 33)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M16 — Сътрудничество (член 35)</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M19 — Подкрепа за местно развитие по LEADER (ВОМР — водено от общностите местно развитие) (член 35 от Регламент (ЕС) № 1303/2013)</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6" w:name="_Toc256000196"/>
      <w:r>
        <w:rPr>
          <w:b/>
          <w:i w:val="0"/>
        </w:rPr>
        <w:t>М20 — Техническа помощ държави членки (членове 51 — 54)</w:t>
      </w:r>
      <w:bookmarkEnd w:id="19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7" w:name="_Toc256000197"/>
      <w:r>
        <w:rPr>
          <w:b/>
          <w:i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9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pStyle w:val="Heading2"/>
        <w:rPr>
          <w:b/>
          <w:i w:val="0"/>
        </w:rPr>
      </w:pPr>
      <w:bookmarkStart w:id="198" w:name="_Toc256000198"/>
      <w:r>
        <w:rPr>
          <w:b/>
          <w:i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bookmarkEnd w:id="19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9" w:name="_Toc256000199"/>
      <w:r>
        <w:t>Елементи, необходими за оценка на държавната помощ</w:t>
      </w:r>
      <w:bookmarkEnd w:id="199"/>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13 500 000,00</w:t>
            </w:r>
          </w:p>
        </w:tc>
        <w:tc>
          <w:tcPr>
            <w:tcW w:w="650" w:type="pct"/>
            <w:shd w:val="clear" w:color="auto" w:fill="FFFFFF"/>
            <w:noWrap w:val="0"/>
            <w:tcMar>
              <w:top w:w="60" w:type="dxa"/>
            </w:tcMar>
            <w:vAlign w:val="top"/>
          </w:tcPr>
          <w:p>
            <w:pPr>
              <w:jc w:val="right"/>
              <w:rPr>
                <w:b w:val="0"/>
                <w:sz w:val="16"/>
              </w:rPr>
            </w:pPr>
            <w:r>
              <w:rPr>
                <w:b w:val="0"/>
                <w:sz w:val="16"/>
              </w:rPr>
              <w:t>1 500 000,00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val="0"/>
                <w:sz w:val="16"/>
              </w:rPr>
            </w:pPr>
            <w:r>
              <w:rPr>
                <w:b w:val="0"/>
                <w:sz w:val="16"/>
              </w:rPr>
              <w:t>10 000 000,00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649 372 224,38</w:t>
            </w:r>
          </w:p>
        </w:tc>
        <w:tc>
          <w:tcPr>
            <w:tcW w:w="650" w:type="pct"/>
            <w:shd w:val="clear" w:color="auto" w:fill="C0C0C0"/>
            <w:noWrap w:val="0"/>
            <w:tcMar>
              <w:top w:w="60" w:type="dxa"/>
            </w:tcMar>
            <w:vAlign w:val="top"/>
          </w:tcPr>
          <w:p>
            <w:pPr>
              <w:jc w:val="right"/>
              <w:rPr>
                <w:b/>
                <w:sz w:val="16"/>
              </w:rPr>
            </w:pPr>
            <w:r>
              <w:rPr>
                <w:b/>
                <w:sz w:val="16"/>
              </w:rPr>
              <w:t>108 371 105,76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762 743 330,14</w:t>
            </w:r>
          </w:p>
        </w:tc>
      </w:tr>
    </w:tbl>
    <w:p>
      <w:pPr>
        <w:rPr>
          <w:b/>
        </w:rPr>
        <w:sectPr>
          <w:pgSz w:w="15840" w:h="12240" w:orient="landscape"/>
          <w:pgMar w:top="900" w:right="900" w:bottom="900" w:left="900" w:header="720" w:footer="720"/>
          <w:cols w:space="720"/>
        </w:sectPr>
      </w:pPr>
    </w:p>
    <w:p/>
    <w:p>
      <w:pPr>
        <w:pStyle w:val="Heading2"/>
      </w:pPr>
      <w:bookmarkStart w:id="200" w:name="_Toc256000200"/>
      <w:r>
        <w:t>М01 — Трансфер на знания и действия за осведомяване (член 14)</w:t>
      </w:r>
      <w:bookmarkEnd w:id="200"/>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13 500 000,00</w:t>
      </w:r>
    </w:p>
    <w:p>
      <w:r>
        <w:t xml:space="preserve">Национално съфинансиране (в евро): </w:t>
      </w:r>
      <w:r>
        <w:t>1 500 000,00</w:t>
      </w:r>
    </w:p>
    <w:p>
      <w:r>
        <w:t xml:space="preserve">Допълнително национално финансиране (в евро): </w:t>
      </w:r>
    </w:p>
    <w:p>
      <w:r>
        <w:t xml:space="preserve">Общо (в EUR): </w:t>
      </w:r>
      <w:r>
        <w:t>15 000 000,00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демонстрационни дейности, насочени към горски стопани и заетите лица в техните стопанства, ще се предоставя посредством държавна помощ SA.103935 "Демонстрационни дейности и действия по осведомяване“ от мярка 1 „Трансфер на знания и действия за осведомяване“ от ПРСР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1" w:name="_Toc256000201"/>
      <w:r>
        <w:t>М02 —  Консултантски услуги, услуги по управление на стопанство и услуги по заместване в стопанство (член 15)</w:t>
      </w:r>
      <w:bookmarkEnd w:id="201"/>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2" w:name="_Toc256000202"/>
      <w:r>
        <w:t>М02 —  Консултантски услуги, услуги по управление на стопанство и услуги по заместване в стопанство (член 15)</w:t>
      </w:r>
      <w:bookmarkEnd w:id="202"/>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3" w:name="_Toc256000203"/>
      <w:r>
        <w:t>M04 — Инвестиции в материални активи (член 17)</w:t>
      </w:r>
      <w:bookmarkEnd w:id="203"/>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4" w:name="_Toc256000204"/>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4"/>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5" w:name="_Toc256000205"/>
      <w:r>
        <w:t>M06 — Развитие на стопанства и предприятия (член 19)</w:t>
      </w:r>
      <w:bookmarkEnd w:id="205"/>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М07 — Основни услуги и обновяване на селата в селските райони (член 20)</w:t>
      </w:r>
      <w:bookmarkEnd w:id="206"/>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7" w:name="_Toc256000207"/>
      <w:r>
        <w:t>М07 — Основни услуги и обновяване на селата в селските райони (член 20)</w:t>
      </w:r>
      <w:bookmarkEnd w:id="207"/>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8" w:name="_Toc256000208"/>
      <w:r>
        <w:t>М07 — Основни услуги и обновяване на селата в селските райони (член 20)</w:t>
      </w:r>
      <w:bookmarkEnd w:id="208"/>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М08 — Инвестиции в развитие на горските райони и подобряване на жизнеспособността на горите (членове 21 — 26)</w:t>
      </w:r>
      <w:bookmarkEnd w:id="210"/>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М08 — Инвестиции в развитие на горските райони и подобряване на жизнеспособността на горите (членове 21 — 26)</w:t>
      </w:r>
      <w:bookmarkEnd w:id="211"/>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М08 — Инвестиции в развитие на горските райони и подобряване на жизнеспособността на горите (членове 21 — 26)</w:t>
      </w:r>
      <w:bookmarkEnd w:id="212"/>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M09 — Създаване на групи и организации на производителите (член 27)</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M10 — Агроекология и климат (член 28)</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М11 — Биологично земеделие (член 29)</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M12 — Плащания по „Натура 2000“ и Рамковата директива за водите (член 30)</w:t>
      </w:r>
      <w:bookmarkEnd w:id="21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М13 — Плащания за райони, изправени пред природни или други специфични ограничения (член 31)</w:t>
      </w:r>
      <w:bookmarkEnd w:id="21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M14 — Хуманно отношение към животните (член 33)</w:t>
      </w:r>
      <w:bookmarkEnd w:id="21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M16 — Сътрудничество (член 35)</w:t>
      </w:r>
      <w:bookmarkEnd w:id="219"/>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0" w:name="_Toc256000220"/>
      <w:r>
        <w:t>M16 — Сътрудничество (член 35)</w:t>
      </w:r>
      <w:bookmarkEnd w:id="220"/>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1" w:name="_Toc256000221"/>
      <w:r>
        <w:t>M19 — Подкрепа за местно развитие по LEADER (ВОМР — водено от общностите местно развитие) (член 35 от Регламент (ЕС) № 1303/2013)</w:t>
      </w:r>
      <w:bookmarkEnd w:id="221"/>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2" w:name="_Toc256000222"/>
      <w: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222"/>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
      <w:pPr>
        <w:pStyle w:val="Heading2"/>
      </w:pPr>
      <w:bookmarkStart w:id="223" w:name="_Toc256000223"/>
      <w:r>
        <w:t>M22 — Извънредна временна подкрепа за земеделските стопани и МСП, които са особено засегнати от последиците от нахлуването на Русия в Украйна (член 39г)</w:t>
      </w:r>
      <w:bookmarkEnd w:id="22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Pr>
        <w:sectPr>
          <w:pgMar w:top="900" w:right="900" w:bottom="900" w:left="900" w:header="720" w:footer="720"/>
          <w:cols w:space="720"/>
        </w:sectPr>
      </w:pPr>
    </w:p>
    <w:p>
      <w:pPr>
        <w:pStyle w:val="Heading1"/>
      </w:pPr>
      <w:bookmarkStart w:id="224" w:name="_Toc256000224"/>
      <w:r>
        <w:t>Информация относно взаимното допълване</w:t>
      </w:r>
      <w:bookmarkEnd w:id="224"/>
    </w:p>
    <w:p>
      <w:pPr>
        <w:pStyle w:val="Heading2"/>
      </w:pPr>
      <w:bookmarkStart w:id="225" w:name="_Toc256000225"/>
      <w:r>
        <w:t>Описание на средствата за осигуряване на допълняемост и съгласуваност със:</w:t>
      </w:r>
      <w:bookmarkEnd w:id="225"/>
      <w:r>
        <w:t xml:space="preserve"> </w:t>
      </w:r>
    </w:p>
    <w:p>
      <w:pPr>
        <w:pStyle w:val="Heading3"/>
        <w:jc w:val="left"/>
        <w:rPr>
          <w:b w:val="0"/>
        </w:rPr>
      </w:pPr>
      <w:bookmarkStart w:id="226" w:name="_Toc256000226"/>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7" w:name="_Toc256000227"/>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8" w:name="_Toc256000228"/>
      <w:r>
        <w:rPr>
          <w:b w:val="0"/>
        </w:rPr>
        <w:t>Когато е целесъобразно, информация за взаимното допълване с други финансови инструменти на Съюза, включително програма LIFE</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9" w:name="_Toc256000229"/>
      <w:r>
        <w:t>Организация за изпълнението на програмата</w:t>
      </w:r>
      <w:bookmarkEnd w:id="229"/>
    </w:p>
    <w:p>
      <w:pPr>
        <w:pStyle w:val="Heading2"/>
      </w:pPr>
      <w:bookmarkStart w:id="230" w:name="_Toc256000230"/>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30"/>
    </w:p>
    <w:p>
      <w:pPr>
        <w:pStyle w:val="Heading3"/>
        <w:jc w:val="left"/>
        <w:rPr>
          <w:b w:val="0"/>
        </w:rPr>
      </w:pPr>
      <w:bookmarkStart w:id="231" w:name="_Toc256000231"/>
      <w:r>
        <w:rPr>
          <w:b w:val="0"/>
        </w:rPr>
        <w:t>Органи</w:t>
      </w:r>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60" w:type="dxa"/>
            </w:tcMar>
            <w:vAlign w:val="top"/>
          </w:tcPr>
          <w:p>
            <w:pPr>
              <w:jc w:val="center"/>
              <w:rPr>
                <w:b/>
                <w:sz w:val="20"/>
              </w:rPr>
            </w:pPr>
            <w:r>
              <w:rPr>
                <w:b/>
                <w:sz w:val="20"/>
              </w:rPr>
              <w:t>Орган</w:t>
            </w:r>
          </w:p>
        </w:tc>
        <w:tc>
          <w:tcPr>
            <w:tcW w:w="12000" w:type="dxa"/>
            <w:shd w:val="clear" w:color="auto" w:fill="C0C0C0"/>
            <w:noWrap w:val="0"/>
            <w:tcMar>
              <w:top w:w="60" w:type="dxa"/>
            </w:tcMar>
            <w:vAlign w:val="top"/>
          </w:tcPr>
          <w:p>
            <w:pPr>
              <w:jc w:val="center"/>
              <w:rPr>
                <w:b/>
                <w:sz w:val="20"/>
              </w:rPr>
            </w:pPr>
            <w:r>
              <w:rPr>
                <w:b/>
                <w:sz w:val="20"/>
              </w:rPr>
              <w:t>Наименование на органа</w:t>
            </w:r>
          </w:p>
        </w:tc>
        <w:tc>
          <w:tcPr>
            <w:tcW w:w="12000" w:type="dxa"/>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12000" w:type="dxa"/>
            <w:shd w:val="clear" w:color="auto" w:fill="C0C0C0"/>
            <w:noWrap w:val="0"/>
            <w:tcMar>
              <w:top w:w="60" w:type="dxa"/>
            </w:tcMar>
            <w:vAlign w:val="top"/>
          </w:tcPr>
          <w:p>
            <w:pPr>
              <w:jc w:val="center"/>
              <w:rPr>
                <w:b/>
                <w:sz w:val="20"/>
              </w:rPr>
            </w:pPr>
            <w:r>
              <w:rPr>
                <w:b/>
                <w:sz w:val="20"/>
              </w:rPr>
              <w:t>Адрес</w:t>
            </w:r>
          </w:p>
        </w:tc>
        <w:tc>
          <w:tcPr>
            <w:tcW w:w="12000" w:type="dxa"/>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Managing authority</w:t>
            </w:r>
          </w:p>
        </w:tc>
        <w:tc>
          <w:tcPr>
            <w:tcW w:w="12000" w:type="dxa"/>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w:t>
            </w:r>
          </w:p>
        </w:tc>
        <w:tc>
          <w:tcPr>
            <w:tcW w:w="12000" w:type="dxa"/>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12000" w:type="dxa"/>
            <w:shd w:val="clear" w:color="auto" w:fill="FFFFFF"/>
            <w:noWrap w:val="0"/>
            <w:tcMar>
              <w:top w:w="60" w:type="dxa"/>
            </w:tcMar>
            <w:vAlign w:val="top"/>
          </w:tcPr>
          <w:p>
            <w:pPr>
              <w:jc w:val="left"/>
              <w:rPr>
                <w:b w:val="0"/>
                <w:sz w:val="16"/>
              </w:rPr>
            </w:pPr>
            <w:r>
              <w:rPr>
                <w:b w:val="0"/>
                <w:sz w:val="16"/>
              </w:rPr>
              <w:t>бул. "Христо Ботев" 55, София 1040</w:t>
            </w:r>
          </w:p>
        </w:tc>
        <w:tc>
          <w:tcPr>
            <w:tcW w:w="12000" w:type="dxa"/>
            <w:shd w:val="clear" w:color="auto" w:fill="FFFFFF"/>
            <w:noWrap w:val="0"/>
            <w:tcMar>
              <w:top w:w="60" w:type="dxa"/>
            </w:tcMar>
            <w:vAlign w:val="top"/>
          </w:tcPr>
          <w:p>
            <w:pPr>
              <w:jc w:val="left"/>
              <w:rPr>
                <w:b w:val="0"/>
                <w:sz w:val="16"/>
              </w:rPr>
            </w:pPr>
            <w:r>
              <w:rPr>
                <w:b w:val="0"/>
                <w:sz w:val="16"/>
              </w:rPr>
              <w:t>EAIvanova@mzh.government.bg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Certification body</w:t>
            </w:r>
          </w:p>
        </w:tc>
        <w:tc>
          <w:tcPr>
            <w:tcW w:w="12000" w:type="dxa"/>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 „Витоша“ 15, София 1000</w:t>
            </w:r>
          </w:p>
        </w:tc>
        <w:tc>
          <w:tcPr>
            <w:tcW w:w="12000" w:type="dxa"/>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Accredited paying agency</w:t>
            </w:r>
          </w:p>
        </w:tc>
        <w:tc>
          <w:tcPr>
            <w:tcW w:w="12000" w:type="dxa"/>
            <w:shd w:val="clear" w:color="auto" w:fill="FFFFFF"/>
            <w:noWrap w:val="0"/>
            <w:tcMar>
              <w:top w:w="60" w:type="dxa"/>
            </w:tcMar>
            <w:vAlign w:val="top"/>
          </w:tcPr>
          <w:p>
            <w:pPr>
              <w:jc w:val="left"/>
              <w:rPr>
                <w:b w:val="0"/>
                <w:sz w:val="16"/>
              </w:rPr>
            </w:pPr>
            <w:r>
              <w:rPr>
                <w:b w:val="0"/>
                <w:sz w:val="16"/>
              </w:rPr>
              <w:t>Държавен Фонд "Земеделие" - РА</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бул."Цар Борис III" 136, София 1618</w:t>
            </w:r>
          </w:p>
        </w:tc>
        <w:tc>
          <w:tcPr>
            <w:tcW w:w="12000" w:type="dxa"/>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32" w:name="_Toc256000232"/>
      <w:r>
        <w:rPr>
          <w:b w:val="0"/>
        </w:rPr>
        <w:t>Кратко описание на структурата за управление и контрол на програмата и на процедурите за независимо разглеждане на жалби</w:t>
      </w:r>
      <w:bookmarkEnd w:id="232"/>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r>
              <w:rPr>
                <w:rFonts w:ascii="Times New Roman" w:eastAsia="Times New Roman" w:hAnsi="Times New Roman" w:cs="Times New Roman"/>
                <w:i/>
                <w:iCs/>
                <w:szCs w:val="24"/>
                <w:u w:val="single"/>
              </w:rPr>
              <w:t>Ръководител на Управляващия орган може да бъде друго лице, назначено и упълномощено от Ръководителя на администрацията или организацията, в която се намира Управляващият орган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33" w:name="_Toc256000233"/>
      <w:r>
        <w:rPr>
          <w:b w:val="0"/>
        </w:rPr>
        <w:t>Предлаган състав на мониторинговия комитет</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4" w:name="_Toc256000234"/>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3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3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3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5" w:name="_Toc256000235"/>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6" w:name="_Toc256000236"/>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7" w:name="_Toc256000237"/>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5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5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54"/>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54"/>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54"/>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54"/>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54"/>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ПРСР/СПРЗСР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ПРСР/СПРЗСР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ПРСР/СПРЗСР, само персонала с минимум 50% заетост по ПРСР/СПРЗСР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55"/>
              </w:numPr>
              <w:spacing w:before="24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към УО и РА, необходим с оглед засилване на капацитета на администрацията, ангажирана в управлението, изпълнението, контрола, наблюдението и оценката на ПРСР/СПРЗСР и разходи за възнагражденията за този персонал.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ПРСР/СПРЗСР,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56"/>
              </w:numPr>
              <w:spacing w:before="24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5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и прилагането на следващия програмен период (след 2023 г.).</w:t>
            </w:r>
          </w:p>
          <w:p>
            <w:pPr>
              <w:numPr>
                <w:ilvl w:val="0"/>
                <w:numId w:val="55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55 656 074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Министерство на земеделието;</w:t>
            </w:r>
          </w:p>
          <w:p>
            <w:pPr>
              <w:numPr>
                <w:ilvl w:val="0"/>
                <w:numId w:val="5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38" w:name="_Toc256000238"/>
      <w:r>
        <w:t>Списък на действията за привличане на партньорите</w:t>
      </w:r>
      <w:bookmarkEnd w:id="238"/>
    </w:p>
    <w:p>
      <w:pPr>
        <w:pStyle w:val="Heading2"/>
      </w:pPr>
      <w:bookmarkStart w:id="239" w:name="_Toc256000239"/>
      <w:r>
        <w:t>16.1.1.Създаване на Тематична работна група (ТРГ) за разработване на ПРСР(2014-2020) с участие на партньорите</w:t>
      </w:r>
      <w:bookmarkEnd w:id="239"/>
    </w:p>
    <w:p>
      <w:pPr>
        <w:pStyle w:val="Heading3"/>
        <w:jc w:val="left"/>
        <w:rPr>
          <w:b w:val="0"/>
        </w:rPr>
      </w:pPr>
      <w:bookmarkStart w:id="240" w:name="_Toc256000240"/>
      <w:r>
        <w:rPr>
          <w:b w:val="0"/>
        </w:rPr>
        <w:t>Предмет на съответната консултация</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41" w:name="_Toc256000241"/>
      <w:r>
        <w:rPr>
          <w:b w:val="0"/>
        </w:rPr>
        <w:t>Обобщение на резултатите</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42" w:name="_Toc256000242"/>
      <w:r>
        <w:rPr>
          <w:b w:val="0"/>
        </w:rPr>
        <w:t>16.1.2. Провеждане на 7 заседания на ТРГ.</w:t>
      </w:r>
      <w:bookmarkEnd w:id="242"/>
    </w:p>
    <w:p>
      <w:pPr>
        <w:pStyle w:val="Heading3"/>
        <w:jc w:val="left"/>
        <w:rPr>
          <w:b w:val="0"/>
        </w:rPr>
      </w:pPr>
      <w:bookmarkStart w:id="243" w:name="_Toc256000243"/>
      <w:r>
        <w:rPr>
          <w:b w:val="0"/>
        </w:rPr>
        <w:t>Предмет на съответната консултация</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4" w:name="_Toc256000244"/>
      <w:r>
        <w:rPr>
          <w:b w:val="0"/>
        </w:rPr>
        <w:t>Обобщение на резултатите</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5" w:name="_Toc256000245"/>
      <w:r>
        <w:rPr>
          <w:b w:val="0"/>
        </w:rPr>
        <w:t>16.1.3. Сформиране на фокус групи</w:t>
      </w:r>
      <w:bookmarkEnd w:id="245"/>
    </w:p>
    <w:p>
      <w:pPr>
        <w:pStyle w:val="Heading3"/>
        <w:jc w:val="left"/>
        <w:rPr>
          <w:b w:val="0"/>
        </w:rPr>
      </w:pPr>
      <w:bookmarkStart w:id="246" w:name="_Toc256000246"/>
      <w:r>
        <w:rPr>
          <w:b w:val="0"/>
        </w:rPr>
        <w:t>Предмет на съответната консултация</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7" w:name="_Toc256000247"/>
      <w:r>
        <w:rPr>
          <w:b w:val="0"/>
        </w:rPr>
        <w:t>Обобщение на резултатите</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8" w:name="_Toc256000248"/>
      <w:r>
        <w:rPr>
          <w:b w:val="0"/>
        </w:rPr>
        <w:t>16.1.4.Привличане на партньори със съвещателен глас</w:t>
      </w:r>
      <w:bookmarkEnd w:id="248"/>
    </w:p>
    <w:p>
      <w:pPr>
        <w:pStyle w:val="Heading3"/>
        <w:jc w:val="left"/>
        <w:rPr>
          <w:b w:val="0"/>
        </w:rPr>
      </w:pPr>
      <w:bookmarkStart w:id="249" w:name="_Toc256000249"/>
      <w:r>
        <w:rPr>
          <w:b w:val="0"/>
        </w:rPr>
        <w:t>Предмет на съответната консултация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50" w:name="_Toc256000250"/>
      <w:r>
        <w:rPr>
          <w:b w:val="0"/>
        </w:rPr>
        <w:t>Обобщение на резултатите</w:t>
      </w:r>
      <w:bookmarkEnd w:id="2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51" w:name="_Toc256000251"/>
      <w:r>
        <w:rPr>
          <w:b w:val="0"/>
        </w:rPr>
        <w:t>16.1.5.Представяне на ПРСР на три заседания на КН</w:t>
      </w:r>
      <w:bookmarkEnd w:id="251"/>
    </w:p>
    <w:p>
      <w:pPr>
        <w:pStyle w:val="Heading3"/>
        <w:jc w:val="left"/>
        <w:rPr>
          <w:b w:val="0"/>
        </w:rPr>
      </w:pPr>
      <w:bookmarkStart w:id="252" w:name="_Toc256000252"/>
      <w:r>
        <w:rPr>
          <w:b w:val="0"/>
        </w:rPr>
        <w:t>Предмет на съответната консултация</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53" w:name="_Toc256000253"/>
      <w:r>
        <w:rPr>
          <w:b w:val="0"/>
        </w:rPr>
        <w:t>Обобщение на резултатите</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4" w:name="_Toc256000254"/>
      <w:r>
        <w:rPr>
          <w:b w:val="0"/>
        </w:rPr>
        <w:t>16.1.6.Достъп до информация, прозрачност</w:t>
      </w:r>
      <w:bookmarkEnd w:id="254"/>
    </w:p>
    <w:p>
      <w:pPr>
        <w:pStyle w:val="Heading3"/>
        <w:jc w:val="left"/>
        <w:rPr>
          <w:b w:val="0"/>
        </w:rPr>
      </w:pPr>
      <w:bookmarkStart w:id="255" w:name="_Toc256000255"/>
      <w:r>
        <w:rPr>
          <w:b w:val="0"/>
        </w:rPr>
        <w:t>Предмет на съответната консултация</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6" w:name="_Toc256000256"/>
      <w:r>
        <w:rPr>
          <w:b w:val="0"/>
        </w:rPr>
        <w:t>Обобщение на резултатите</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7" w:name="_Toc256000257"/>
      <w:r>
        <w:rPr>
          <w:b w:val="0"/>
        </w:rPr>
        <w:t>(Незадължително) разяснения или допълнителна информация за допълване на списъка с действия</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8" w:name="_Toc256000258"/>
      <w:r>
        <w:t>Национална мрежа за селските райони</w:t>
      </w:r>
      <w:bookmarkEnd w:id="258"/>
    </w:p>
    <w:p>
      <w:pPr>
        <w:pStyle w:val="Heading2"/>
      </w:pPr>
      <w:bookmarkStart w:id="259" w:name="_Toc256000259"/>
      <w:r>
        <w:t>Процедура и график за създаването на националната мрежа за селските райони („НМСР“)</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60" w:name="_Toc256000260"/>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61" w:name="_Toc256000261"/>
      <w:r>
        <w:t>Обобщено описание на основните категории дейности на националната мрежа за селските райони в съответствие с целите на програмата</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62" w:name="_Toc256000262"/>
      <w:r>
        <w:t>Налични ресурси за създаването и привеждането в действие на националната мрежа за селските райони</w:t>
      </w:r>
      <w:bookmarkEnd w:id="2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63" w:name="_Toc256000263"/>
      <w:r>
        <w:t>Предварителна оценка на доказуемостта и на възможността за контрол, както и на риска от грешки</w:t>
      </w:r>
      <w:bookmarkEnd w:id="263"/>
    </w:p>
    <w:p>
      <w:pPr>
        <w:pStyle w:val="Heading2"/>
      </w:pPr>
      <w:bookmarkStart w:id="264" w:name="_Toc256000264"/>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7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7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5" w:name="_Toc256000265"/>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6" w:name="_Toc256000266"/>
      <w:r>
        <w:t>Преходни условия</w:t>
      </w:r>
      <w:bookmarkEnd w:id="266"/>
    </w:p>
    <w:p>
      <w:pPr>
        <w:pStyle w:val="Heading2"/>
      </w:pPr>
      <w:bookmarkStart w:id="267" w:name="_Toc256000267"/>
      <w:r>
        <w:t>Описание на преходните условия по мерки</w:t>
      </w:r>
      <w:bookmarkEnd w:id="26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8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8" w:name="_Toc256000268"/>
      <w:r>
        <w:t>Ориентировъчна таблица за пренос на средства</w:t>
      </w:r>
      <w:bookmarkEnd w:id="2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328"/>
        <w:gridCol w:w="53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39г)</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9" w:name="_Toc256000269"/>
      <w:r>
        <w:t>Тематични подпрограми</w:t>
      </w:r>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20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70" w:name="_Toc256000270"/>
      <w:r>
        <w:rPr>
          <w:b w:val="0"/>
          <w:i w:val="0"/>
        </w:rPr>
        <w:t>Документи</w:t>
      </w:r>
      <w:bookmarkEnd w:id="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Ares(2023)7324152</w:t>
            </w:r>
          </w:p>
        </w:tc>
        <w:tc>
          <w:tcPr>
            <w:tcW w:w="2000" w:type="pct"/>
            <w:shd w:val="clear" w:color="auto" w:fill="FFFFFF"/>
            <w:noWrap w:val="0"/>
            <w:tcMar>
              <w:top w:w="60" w:type="dxa"/>
            </w:tcMar>
            <w:vAlign w:val="top"/>
          </w:tcPr>
          <w:p>
            <w:pPr>
              <w:jc w:val="left"/>
              <w:rPr>
                <w:b w:val="0"/>
                <w:i w:val="0"/>
                <w:sz w:val="16"/>
              </w:rPr>
            </w:pPr>
            <w:r>
              <w:rPr>
                <w:b w:val="0"/>
                <w:i w:val="0"/>
                <w:sz w:val="16"/>
              </w:rPr>
              <w:t>642434225</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 - 7 бр.</w:t>
            </w:r>
          </w:p>
        </w:tc>
        <w:tc>
          <w:tcPr>
            <w:tcW w:w="2000" w:type="pct"/>
            <w:shd w:val="clear" w:color="auto" w:fill="FFFFFF"/>
            <w:noWrap w:val="0"/>
            <w:tcMar>
              <w:top w:w="60" w:type="dxa"/>
            </w:tcMar>
            <w:vAlign w:val="top"/>
          </w:tcPr>
          <w:p>
            <w:pPr>
              <w:jc w:val="left"/>
              <w:rPr>
                <w:b w:val="0"/>
                <w:i w:val="0"/>
                <w:sz w:val="16"/>
              </w:rPr>
            </w:pPr>
            <w:r>
              <w:rPr>
                <w:b w:val="0"/>
                <w:i w:val="0"/>
                <w:sz w:val="16"/>
              </w:rPr>
              <w:t>27-10-2023</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10-04-2023</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Ares(2023)7324152</w:t>
            </w:r>
          </w:p>
        </w:tc>
        <w:tc>
          <w:tcPr>
            <w:tcW w:w="2000" w:type="pct"/>
            <w:shd w:val="clear" w:color="auto" w:fill="FFFFFF"/>
            <w:noWrap w:val="0"/>
            <w:tcMar>
              <w:top w:w="60" w:type="dxa"/>
            </w:tcMar>
            <w:vAlign w:val="top"/>
          </w:tcPr>
          <w:p>
            <w:pPr>
              <w:jc w:val="left"/>
              <w:rPr>
                <w:b w:val="0"/>
                <w:i w:val="0"/>
                <w:sz w:val="16"/>
              </w:rPr>
            </w:pPr>
            <w:r>
              <w:rPr>
                <w:b w:val="0"/>
                <w:i w:val="0"/>
                <w:sz w:val="16"/>
              </w:rPr>
              <w:t>3004420981</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 април 2023</w:t>
            </w:r>
          </w:p>
        </w:tc>
        <w:tc>
          <w:tcPr>
            <w:tcW w:w="2000" w:type="pct"/>
            <w:shd w:val="clear" w:color="auto" w:fill="FFFFFF"/>
            <w:noWrap w:val="0"/>
            <w:tcMar>
              <w:top w:w="60" w:type="dxa"/>
            </w:tcMar>
            <w:vAlign w:val="top"/>
          </w:tcPr>
          <w:p>
            <w:pPr>
              <w:jc w:val="left"/>
              <w:rPr>
                <w:b w:val="0"/>
                <w:i w:val="0"/>
                <w:sz w:val="16"/>
              </w:rPr>
            </w:pPr>
            <w:r>
              <w:rPr>
                <w:b w:val="0"/>
                <w:i w:val="0"/>
                <w:sz w:val="16"/>
              </w:rPr>
              <w:t>27-10-2023</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06-04-2023</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Ares(2023)7324152</w:t>
            </w:r>
          </w:p>
        </w:tc>
        <w:tc>
          <w:tcPr>
            <w:tcW w:w="2000" w:type="pct"/>
            <w:shd w:val="clear" w:color="auto" w:fill="FFFFFF"/>
            <w:noWrap w:val="0"/>
            <w:tcMar>
              <w:top w:w="60" w:type="dxa"/>
            </w:tcMar>
            <w:vAlign w:val="top"/>
          </w:tcPr>
          <w:p>
            <w:pPr>
              <w:jc w:val="left"/>
              <w:rPr>
                <w:b w:val="0"/>
                <w:i w:val="0"/>
                <w:sz w:val="16"/>
              </w:rPr>
            </w:pPr>
            <w:r>
              <w:rPr>
                <w:b w:val="0"/>
                <w:i w:val="0"/>
                <w:sz w:val="16"/>
              </w:rPr>
              <w:t>4179527371</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w:t>
            </w:r>
          </w:p>
        </w:tc>
        <w:tc>
          <w:tcPr>
            <w:tcW w:w="2000" w:type="pct"/>
            <w:shd w:val="clear" w:color="auto" w:fill="FFFFFF"/>
            <w:noWrap w:val="0"/>
            <w:tcMar>
              <w:top w:w="60" w:type="dxa"/>
            </w:tcMar>
            <w:vAlign w:val="top"/>
          </w:tcPr>
          <w:p>
            <w:pPr>
              <w:jc w:val="left"/>
              <w:rPr>
                <w:b w:val="0"/>
                <w:i w:val="0"/>
                <w:sz w:val="16"/>
              </w:rPr>
            </w:pPr>
            <w:r>
              <w:rPr>
                <w:b w:val="0"/>
                <w:i w:val="0"/>
                <w:sz w:val="16"/>
              </w:rPr>
              <w:t>27-10-2023</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C53E3BEB-4550-4CA0-BD15-A51B523F8575}"/>
    <w:embedBold r:id="rId2" w:fontKey="{7030A79C-953E-40D6-AE2E-7F334D062926}"/>
    <w:embedItalic r:id="rId3" w:fontKey="{B19ADEF6-DE61-4E34-AADF-4A36C3907EC8}"/>
    <w:embedBoldItalic r:id="rId4" w:fontKey="{740D5CA3-997C-49AC-8AFC-27B4A6E5AA30}"/>
  </w:font>
  <w:font w:name="Symbol">
    <w:panose1 w:val="05050102010706020507"/>
    <w:charset w:val="02"/>
    <w:family w:val="roman"/>
    <w:pitch w:val="variable"/>
    <w:sig w:usb0="00000000" w:usb1="10000000" w:usb2="00000000" w:usb3="00000000" w:csb0="80000000" w:csb1="00000000"/>
    <w:embedRegular r:id="rId5" w:fontKey="{4D878D04-1B87-4272-BACD-72FB59203127}"/>
  </w:font>
  <w:font w:name="Arial">
    <w:panose1 w:val="020B0604020202020204"/>
    <w:charset w:val="00"/>
    <w:family w:val="swiss"/>
    <w:pitch w:val="variable"/>
    <w:sig w:usb0="E0002AFF" w:usb1="C0007843" w:usb2="00000009" w:usb3="00000000" w:csb0="000001FF" w:csb1="00000000"/>
    <w:embedRegular r:id="rId6" w:fontKey="{4269A8DA-A540-4D5D-AA16-5479A810EF14}"/>
    <w:embedBold r:id="rId7" w:fontKey="{FD0057C7-819B-4FC7-AF00-AEED8F6F8488}"/>
    <w:embedItalic r:id="rId8" w:fontKey="{8D2FE058-D171-4C93-BD53-C48414714ACD}"/>
  </w:font>
  <w:font w:name="Calibri">
    <w:panose1 w:val="020F0502020204030204"/>
    <w:charset w:val="00"/>
    <w:family w:val="swiss"/>
    <w:pitch w:val="variable"/>
    <w:sig w:usb0="E10002FF" w:usb1="4000ACFF" w:usb2="00000009" w:usb3="00000000" w:csb0="0000019F" w:csb1="00000000"/>
    <w:embedRegular r:id="rId9" w:fontKey="{0C7AF5CF-F115-4E0C-81A2-D2E00CC550D2}"/>
  </w:font>
  <w:font w:name="Tahoma">
    <w:panose1 w:val="020B0604030504040204"/>
    <w:charset w:val="00"/>
    <w:family w:val="swiss"/>
    <w:pitch w:val="variable"/>
    <w:sig w:usb0="E1002EFF" w:usb1="C000605B" w:usb2="00000029" w:usb3="00000000" w:csb0="000101FF" w:csb1="00000000"/>
    <w:embedRegular r:id="rId10" w:fontKey="{2F95A39F-C40F-4981-9944-1A5D069F6C6D}"/>
  </w:font>
  <w:font w:name="Courier New">
    <w:panose1 w:val="02070309020205020404"/>
    <w:charset w:val="00"/>
    <w:family w:val="modern"/>
    <w:pitch w:val="fixed"/>
    <w:sig w:usb0="E0002AFF" w:usb1="C0007843" w:usb2="00000009" w:usb3="00000000" w:csb0="000001FF" w:csb1="00000000"/>
    <w:embedRegular r:id="rId11" w:fontKey="{A9A5EFB1-FFA0-419A-96D0-CE63F0A5E6BA}"/>
  </w:font>
  <w:font w:name="Wingdings">
    <w:charset w:val="00"/>
    <w:family w:val="auto"/>
    <w:pitch w:val="default"/>
    <w:sig w:usb0="00000000" w:usb1="00000000" w:usb2="00000000" w:usb3="00000000" w:csb0="00000001" w:csb1="00000000"/>
    <w:embedRegular r:id="rId12" w:fontKey="{B67E91DF-85D7-4A00-BC64-EBAF173DC1CF}"/>
  </w:font>
  <w:font w:name="Cambria">
    <w:charset w:val="00"/>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915</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hybridMultilevel"/>
    <w:tmpl w:val="722305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multilevel"/>
    <w:tmpl w:val="7223053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nsid w:val="72230537"/>
    <w:multiLevelType w:val="multilevel"/>
    <w:tmpl w:val="7223053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nsid w:val="72230538"/>
    <w:multiLevelType w:val="multilevel"/>
    <w:tmpl w:val="7223053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hybridMultilevel"/>
    <w:tmpl w:val="722305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hybridMultilevel"/>
    <w:tmpl w:val="722305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multilevel"/>
    <w:tmpl w:val="7223053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nsid w:val="7223053E"/>
    <w:multiLevelType w:val="multilevel"/>
    <w:tmpl w:val="7223053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hybridMultilevel"/>
    <w:tmpl w:val="722305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hybridMultilevel"/>
    <w:tmpl w:val="7223054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multilevel"/>
    <w:tmpl w:val="7223054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2">
    <w:nsid w:val="72230545"/>
    <w:multiLevelType w:val="hybridMultilevel"/>
    <w:tmpl w:val="7223054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multilevel"/>
    <w:tmpl w:val="7223054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4">
    <w:nsid w:val="72230547"/>
    <w:multiLevelType w:val="hybridMultilevel"/>
    <w:tmpl w:val="7223054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5">
    <w:nsid w:val="72230548"/>
    <w:multiLevelType w:val="multilevel"/>
    <w:tmpl w:val="7223054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6">
    <w:nsid w:val="72230549"/>
    <w:multiLevelType w:val="hybridMultilevel"/>
    <w:tmpl w:val="7223054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7">
    <w:nsid w:val="7223054A"/>
    <w:multiLevelType w:val="multilevel"/>
    <w:tmpl w:val="7223054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hybridMultilevel"/>
    <w:tmpl w:val="722305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hybridMultilevel"/>
    <w:tmpl w:val="722305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multilevel"/>
    <w:tmpl w:val="722305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9">
    <w:nsid w:val="72230556"/>
    <w:multiLevelType w:val="hybridMultilevel"/>
    <w:tmpl w:val="7223055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hybridMultilevel"/>
    <w:tmpl w:val="722305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multilevel"/>
    <w:tmpl w:val="7223056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hybridMultilevel"/>
    <w:tmpl w:val="722305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multilevel"/>
    <w:tmpl w:val="7223056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7">
    <w:nsid w:val="72230568"/>
    <w:multiLevelType w:val="hybridMultilevel"/>
    <w:tmpl w:val="7223056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multilevel"/>
    <w:tmpl w:val="722305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nsid w:val="72230571"/>
    <w:multiLevelType w:val="multilevel"/>
    <w:tmpl w:val="7223057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nsid w:val="72230572"/>
    <w:multiLevelType w:val="hybridMultilevel"/>
    <w:tmpl w:val="722305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8">
    <w:nsid w:val="72230573"/>
    <w:multiLevelType w:val="multilevel"/>
    <w:tmpl w:val="722305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nsid w:val="72230574"/>
    <w:multiLevelType w:val="multilevel"/>
    <w:tmpl w:val="7223057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multilevel"/>
    <w:tmpl w:val="7223057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3">
    <w:nsid w:val="72230578"/>
    <w:multiLevelType w:val="hybridMultilevel"/>
    <w:tmpl w:val="722305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multilevel"/>
    <w:tmpl w:val="7223057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6">
    <w:nsid w:val="7223057B"/>
    <w:multiLevelType w:val="multilevel"/>
    <w:tmpl w:val="722305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7">
    <w:nsid w:val="7223057C"/>
    <w:multiLevelType w:val="hybridMultilevel"/>
    <w:tmpl w:val="7223057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hybridMultilevel"/>
    <w:tmpl w:val="722305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9">
    <w:nsid w:val="7223057E"/>
    <w:multiLevelType w:val="multilevel"/>
    <w:tmpl w:val="7223057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multilevel"/>
    <w:tmpl w:val="722305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multilevel"/>
    <w:tmpl w:val="72230581"/>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nsid w:val="72230582"/>
    <w:multiLevelType w:val="multilevel"/>
    <w:tmpl w:val="7223058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multilevel"/>
    <w:tmpl w:val="7223058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8">
    <w:nsid w:val="72230587"/>
    <w:multiLevelType w:val="hybridMultilevel"/>
    <w:tmpl w:val="7223058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multilevel"/>
    <w:tmpl w:val="7223058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1">
    <w:nsid w:val="7223058A"/>
    <w:multiLevelType w:val="multilevel"/>
    <w:tmpl w:val="7223058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multilevel"/>
    <w:tmpl w:val="722305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multilevel"/>
    <w:tmpl w:val="7223059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multilevel"/>
    <w:tmpl w:val="722305A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multilevel"/>
    <w:tmpl w:val="722305C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hybridMultilevel"/>
    <w:tmpl w:val="722305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multilevel"/>
    <w:tmpl w:val="722305D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6">
    <w:nsid w:val="722305D5"/>
    <w:multiLevelType w:val="hybridMultilevel"/>
    <w:tmpl w:val="722305D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multilevel"/>
    <w:tmpl w:val="722305D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multilevel"/>
    <w:tmpl w:val="722305D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multilevel"/>
    <w:tmpl w:val="722305E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multilevel"/>
    <w:tmpl w:val="722305E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multilevel"/>
    <w:tmpl w:val="722305E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multilevel"/>
    <w:tmpl w:val="722305F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multilevel"/>
    <w:tmpl w:val="722305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multilevel"/>
    <w:tmpl w:val="722305F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multilevel"/>
    <w:tmpl w:val="722306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multilevel"/>
    <w:tmpl w:val="722306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5">
    <w:nsid w:val="72230656"/>
    <w:multiLevelType w:val="multilevel"/>
    <w:tmpl w:val="7223065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multilevel"/>
    <w:tmpl w:val="7223066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multilevel"/>
    <w:tmpl w:val="7223066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multilevel"/>
    <w:tmpl w:val="7223066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multilevel"/>
    <w:tmpl w:val="7223066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multilevel"/>
    <w:tmpl w:val="722306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7">
    <w:nsid w:val="72230680"/>
    <w:multiLevelType w:val="hybridMultilevel"/>
    <w:tmpl w:val="722306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multilevel"/>
    <w:tmpl w:val="7223068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hybridMultilevel"/>
    <w:tmpl w:val="722306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1">
    <w:nsid w:val="7223068E"/>
    <w:multiLevelType w:val="hybridMultilevel"/>
    <w:tmpl w:val="722306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hybridMultilevel"/>
    <w:tmpl w:val="722306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multilevel"/>
    <w:tmpl w:val="7223069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multilevel"/>
    <w:tmpl w:val="7223069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2">
    <w:nsid w:val="72230699"/>
    <w:multiLevelType w:val="multilevel"/>
    <w:tmpl w:val="722306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multilevel"/>
    <w:tmpl w:val="7223069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multilevel"/>
    <w:tmpl w:val="722306A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multilevel"/>
    <w:tmpl w:val="722306C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6">
    <w:nsid w:val="722306CF"/>
    <w:multiLevelType w:val="multilevel"/>
    <w:tmpl w:val="722306CF"/>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7">
    <w:nsid w:val="722306D0"/>
    <w:multiLevelType w:val="multilevel"/>
    <w:tmpl w:val="722306D0"/>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8">
    <w:nsid w:val="722306D1"/>
    <w:multiLevelType w:val="multilevel"/>
    <w:tmpl w:val="722306D1"/>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9">
    <w:nsid w:val="722306D2"/>
    <w:multiLevelType w:val="hybridMultilevel"/>
    <w:tmpl w:val="722306D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multilevel"/>
    <w:tmpl w:val="722306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multilevel"/>
    <w:tmpl w:val="722306E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6">
    <w:nsid w:val="722306ED"/>
    <w:multiLevelType w:val="multilevel"/>
    <w:tmpl w:val="722306ED"/>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7">
    <w:nsid w:val="722306EE"/>
    <w:multiLevelType w:val="multilevel"/>
    <w:tmpl w:val="722306EE"/>
    <w:lvl w:ilvl="0">
      <w:start w:val="1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8">
    <w:nsid w:val="722306EF"/>
    <w:multiLevelType w:val="multilevel"/>
    <w:tmpl w:val="722306EF"/>
    <w:lvl w:ilvl="0">
      <w:start w:val="1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9">
    <w:nsid w:val="722306FA"/>
    <w:multiLevelType w:val="hybridMultilevel"/>
    <w:tmpl w:val="722306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3">
    <w:nsid w:val="722306FE"/>
    <w:multiLevelType w:val="hybridMultilevel"/>
    <w:tmpl w:val="722306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4">
    <w:nsid w:val="722306FF"/>
    <w:multiLevelType w:val="multilevel"/>
    <w:tmpl w:val="722306F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5">
    <w:nsid w:val="72230700"/>
    <w:multiLevelType w:val="hybridMultilevel"/>
    <w:tmpl w:val="722307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6">
    <w:nsid w:val="72230701"/>
    <w:multiLevelType w:val="multilevel"/>
    <w:tmpl w:val="7223070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7">
    <w:nsid w:val="72230702"/>
    <w:multiLevelType w:val="hybridMultilevel"/>
    <w:tmpl w:val="722307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8">
    <w:nsid w:val="72230703"/>
    <w:multiLevelType w:val="hybridMultilevel"/>
    <w:tmpl w:val="722307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9">
    <w:nsid w:val="72230704"/>
    <w:multiLevelType w:val="hybridMultilevel"/>
    <w:tmpl w:val="722307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0">
    <w:nsid w:val="72230705"/>
    <w:multiLevelType w:val="hybridMultilevel"/>
    <w:tmpl w:val="722307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1">
    <w:nsid w:val="72230706"/>
    <w:multiLevelType w:val="hybridMultilevel"/>
    <w:tmpl w:val="722307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2">
    <w:nsid w:val="72230707"/>
    <w:multiLevelType w:val="hybridMultilevel"/>
    <w:tmpl w:val="722307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3">
    <w:nsid w:val="72230708"/>
    <w:multiLevelType w:val="hybridMultilevel"/>
    <w:tmpl w:val="722307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4">
    <w:nsid w:val="72230709"/>
    <w:multiLevelType w:val="hybridMultilevel"/>
    <w:tmpl w:val="722307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 w:numId="575">
    <w:abstractNumId w:val="577"/>
  </w:num>
  <w:num w:numId="576">
    <w:abstractNumId w:val="578"/>
  </w:num>
  <w:num w:numId="577">
    <w:abstractNumId w:val="579"/>
  </w:num>
  <w:num w:numId="578">
    <w:abstractNumId w:val="580"/>
  </w:num>
  <w:num w:numId="579">
    <w:abstractNumId w:val="581"/>
  </w:num>
  <w:num w:numId="580">
    <w:abstractNumId w:val="582"/>
  </w:num>
  <w:num w:numId="581">
    <w:abstractNumId w:val="583"/>
  </w:num>
  <w:num w:numId="582">
    <w:abstractNumId w:val="58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theme" Target="theme/theme1.xml" /><Relationship Id="rId24" Type="http://schemas.openxmlformats.org/officeDocument/2006/relationships/numbering" Target="numbering.xml" /><Relationship Id="rId25"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915</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